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F982E" w14:textId="21EAB3E2"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v:textbox>
              </v:shape>
            </w:pict>
          </mc:Fallback>
        </mc:AlternateContent>
      </w:r>
    </w:p>
    <w:p w14:paraId="215E0AA2" w14:textId="77777777" w:rsidR="0042756C" w:rsidRPr="00283139" w:rsidRDefault="0042756C" w:rsidP="00387419">
      <w:pPr>
        <w:rPr>
          <w:rFonts w:asciiTheme="minorHAnsi" w:hAnsiTheme="minorHAnsi" w:cs="Arial"/>
          <w:color w:val="FFFFFF" w:themeColor="background1"/>
          <w:sz w:val="72"/>
          <w:szCs w:val="72"/>
          <w:lang w:val="en-GB"/>
        </w:rPr>
      </w:pPr>
    </w:p>
    <w:p w14:paraId="2FCAAE3D" w14:textId="77777777" w:rsidR="007240E2" w:rsidRPr="00283139" w:rsidRDefault="007240E2" w:rsidP="007240E2">
      <w:pPr>
        <w:shd w:val="clear" w:color="auto" w:fill="FFFFFF"/>
        <w:rPr>
          <w:rFonts w:asciiTheme="minorHAnsi" w:hAnsiTheme="minorHAnsi" w:cs="Arial"/>
          <w:color w:val="222222"/>
          <w:szCs w:val="22"/>
          <w:lang w:val="en-GB"/>
        </w:rPr>
      </w:pPr>
    </w:p>
    <w:p w14:paraId="174E86A9" w14:textId="3CDCB018" w:rsidR="00666865" w:rsidRDefault="00911425" w:rsidP="00F52C9D">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w:t>
      </w:r>
      <w:r w:rsidR="00F52C9D">
        <w:rPr>
          <w:rFonts w:asciiTheme="minorHAnsi" w:hAnsiTheme="minorHAnsi" w:cs="Arial"/>
          <w:szCs w:val="22"/>
          <w:lang w:val="en-GB"/>
        </w:rPr>
        <w:t xml:space="preserve"> Donors</w:t>
      </w:r>
      <w:r w:rsidR="001C3E60">
        <w:rPr>
          <w:rFonts w:asciiTheme="minorHAnsi" w:hAnsiTheme="minorHAnsi" w:cs="Arial"/>
          <w:b/>
          <w:bCs/>
          <w:szCs w:val="22"/>
          <w:lang w:val="en-GB"/>
        </w:rPr>
        <w:t xml:space="preserve"> </w:t>
      </w:r>
      <w:r w:rsidRPr="00283139">
        <w:rPr>
          <w:rFonts w:asciiTheme="minorHAnsi" w:hAnsiTheme="minorHAnsi" w:cs="Arial"/>
          <w:color w:val="222222"/>
          <w:szCs w:val="22"/>
          <w:lang w:val="en-GB"/>
        </w:rPr>
        <w:t xml:space="preserve">hereby request you to submit price quotation(s) </w:t>
      </w:r>
    </w:p>
    <w:p w14:paraId="531A4C59" w14:textId="1357E520" w:rsidR="00666865" w:rsidRPr="004567B3" w:rsidRDefault="00666865" w:rsidP="00F52C9D">
      <w:pPr>
        <w:shd w:val="clear" w:color="auto" w:fill="FFFFFF"/>
        <w:rPr>
          <w:rFonts w:asciiTheme="minorHAnsi" w:hAnsiTheme="minorHAnsi" w:cs="Arial"/>
          <w:b/>
          <w:bCs/>
          <w:color w:val="222222"/>
          <w:szCs w:val="22"/>
          <w:lang w:val="en-GB"/>
        </w:rPr>
      </w:pPr>
      <w:r w:rsidRPr="00666865">
        <w:rPr>
          <w:rFonts w:asciiTheme="minorHAnsi" w:hAnsiTheme="minorHAnsi" w:cs="Arial"/>
          <w:color w:val="222222"/>
          <w:szCs w:val="22"/>
          <w:lang w:val="en-GB"/>
        </w:rPr>
        <w:t xml:space="preserve">for the </w:t>
      </w:r>
      <w:r w:rsidR="00F52C9D" w:rsidRPr="00F52C9D">
        <w:rPr>
          <w:rFonts w:asciiTheme="minorHAnsi" w:hAnsiTheme="minorHAnsi" w:cs="Arial"/>
          <w:color w:val="222222"/>
          <w:szCs w:val="22"/>
          <w:lang w:val="en-GB"/>
        </w:rPr>
        <w:t xml:space="preserve">Financial Audit </w:t>
      </w:r>
      <w:proofErr w:type="spellStart"/>
      <w:r w:rsidR="00CC0034" w:rsidRPr="00CC0034">
        <w:rPr>
          <w:rFonts w:asciiTheme="minorHAnsi" w:hAnsiTheme="minorHAnsi" w:cs="Arial"/>
          <w:color w:val="222222"/>
          <w:szCs w:val="22"/>
          <w:lang w:val="en-GB"/>
        </w:rPr>
        <w:t>Audit</w:t>
      </w:r>
      <w:proofErr w:type="spellEnd"/>
      <w:r w:rsidRPr="00666865">
        <w:rPr>
          <w:rFonts w:asciiTheme="minorHAnsi" w:hAnsiTheme="minorHAnsi" w:cs="Arial"/>
          <w:color w:val="222222"/>
          <w:szCs w:val="22"/>
          <w:lang w:val="en-GB"/>
        </w:rPr>
        <w:t>. listed below titled RFQ NO</w:t>
      </w:r>
      <w:r w:rsidR="00A07713">
        <w:rPr>
          <w:rFonts w:asciiTheme="minorHAnsi" w:hAnsiTheme="minorHAnsi" w:cs="Arial"/>
          <w:color w:val="222222"/>
          <w:szCs w:val="22"/>
          <w:lang w:val="en-GB"/>
        </w:rPr>
        <w:t xml:space="preserve"> </w:t>
      </w:r>
      <w:r w:rsidR="00A07713" w:rsidRPr="00A07713">
        <w:rPr>
          <w:rFonts w:asciiTheme="minorHAnsi" w:hAnsiTheme="minorHAnsi" w:cs="Arial"/>
          <w:b/>
          <w:bCs/>
          <w:color w:val="222222"/>
          <w:szCs w:val="22"/>
          <w:lang w:val="en-GB"/>
        </w:rPr>
        <w:t>SDN-</w:t>
      </w:r>
      <w:r w:rsidRPr="00666865">
        <w:rPr>
          <w:rFonts w:asciiTheme="minorHAnsi" w:hAnsiTheme="minorHAnsi" w:cs="Arial"/>
          <w:color w:val="222222"/>
          <w:szCs w:val="22"/>
          <w:lang w:val="en-GB"/>
        </w:rPr>
        <w:t xml:space="preserve"> </w:t>
      </w:r>
      <w:r w:rsidR="00651792">
        <w:rPr>
          <w:rFonts w:asciiTheme="minorHAnsi" w:hAnsiTheme="minorHAnsi" w:cs="Arial"/>
          <w:b/>
          <w:bCs/>
          <w:color w:val="222222"/>
          <w:szCs w:val="22"/>
          <w:lang w:val="en-GB"/>
        </w:rPr>
        <w:t>KRT-22-0</w:t>
      </w:r>
      <w:r w:rsidR="00F52C9D">
        <w:rPr>
          <w:rFonts w:asciiTheme="minorHAnsi" w:hAnsiTheme="minorHAnsi" w:cs="Arial"/>
          <w:b/>
          <w:bCs/>
          <w:color w:val="222222"/>
          <w:szCs w:val="22"/>
          <w:lang w:val="en-GB"/>
        </w:rPr>
        <w:t>33</w:t>
      </w:r>
      <w:r w:rsidR="00651792">
        <w:rPr>
          <w:rFonts w:asciiTheme="minorHAnsi" w:hAnsiTheme="minorHAnsi" w:cs="Arial"/>
          <w:b/>
          <w:bCs/>
          <w:color w:val="222222"/>
          <w:szCs w:val="22"/>
          <w:lang w:val="en-GB"/>
        </w:rPr>
        <w:t>-</w:t>
      </w:r>
      <w:r w:rsidR="005D115C">
        <w:rPr>
          <w:rFonts w:asciiTheme="minorHAnsi" w:hAnsiTheme="minorHAnsi" w:cs="Arial"/>
          <w:b/>
          <w:bCs/>
          <w:color w:val="222222"/>
          <w:szCs w:val="22"/>
          <w:lang w:val="en-GB"/>
        </w:rPr>
        <w:t xml:space="preserve"> </w:t>
      </w:r>
      <w:r w:rsidR="006420FA">
        <w:rPr>
          <w:rFonts w:asciiTheme="minorHAnsi" w:hAnsiTheme="minorHAnsi" w:cs="Arial"/>
          <w:b/>
          <w:bCs/>
          <w:color w:val="222222"/>
          <w:szCs w:val="22"/>
          <w:lang w:val="en-GB"/>
        </w:rPr>
        <w:t xml:space="preserve">For </w:t>
      </w:r>
      <w:r w:rsidR="00F52C9D">
        <w:rPr>
          <w:rFonts w:asciiTheme="minorHAnsi" w:hAnsiTheme="minorHAnsi" w:cs="Arial"/>
          <w:b/>
          <w:bCs/>
          <w:color w:val="222222"/>
          <w:szCs w:val="22"/>
          <w:lang w:val="en-GB"/>
        </w:rPr>
        <w:t>Statutory Financial</w:t>
      </w:r>
      <w:r w:rsidR="006420FA">
        <w:rPr>
          <w:rFonts w:asciiTheme="minorHAnsi" w:hAnsiTheme="minorHAnsi" w:cs="Arial"/>
          <w:b/>
          <w:bCs/>
          <w:color w:val="222222"/>
          <w:szCs w:val="22"/>
          <w:lang w:val="en-GB"/>
        </w:rPr>
        <w:t xml:space="preserve"> Audit</w:t>
      </w:r>
      <w:r w:rsidR="00F52C9D">
        <w:rPr>
          <w:rFonts w:asciiTheme="minorHAnsi" w:hAnsiTheme="minorHAnsi" w:cs="Arial"/>
          <w:b/>
          <w:bCs/>
          <w:color w:val="222222"/>
          <w:szCs w:val="22"/>
          <w:lang w:val="en-GB"/>
        </w:rPr>
        <w:t xml:space="preserve"> Services</w:t>
      </w:r>
    </w:p>
    <w:p w14:paraId="11FE04F1" w14:textId="36AA83C3" w:rsidR="0098451A" w:rsidRPr="009D5A37" w:rsidRDefault="0098451A" w:rsidP="00666865">
      <w:pPr>
        <w:shd w:val="clear" w:color="auto" w:fill="FFFFFF"/>
        <w:rPr>
          <w:rFonts w:asciiTheme="minorHAnsi" w:hAnsiTheme="minorHAnsi" w:cs="Arial"/>
          <w:lang w:val="en-GB"/>
        </w:rPr>
      </w:pPr>
    </w:p>
    <w:tbl>
      <w:tblPr>
        <w:tblStyle w:val="TableGrid"/>
        <w:tblpPr w:leftFromText="141" w:rightFromText="141" w:vertAnchor="text" w:horzAnchor="margin" w:tblpXSpec="center" w:tblpY="-79"/>
        <w:tblW w:w="11065" w:type="dxa"/>
        <w:tblLook w:val="04A0" w:firstRow="1" w:lastRow="0" w:firstColumn="1" w:lastColumn="0" w:noHBand="0" w:noVBand="1"/>
      </w:tblPr>
      <w:tblGrid>
        <w:gridCol w:w="2238"/>
        <w:gridCol w:w="2819"/>
        <w:gridCol w:w="3047"/>
        <w:gridCol w:w="2961"/>
      </w:tblGrid>
      <w:tr w:rsidR="00CF1805" w:rsidRPr="00283139" w14:paraId="6E4CCC77" w14:textId="77777777" w:rsidTr="00394212">
        <w:tc>
          <w:tcPr>
            <w:tcW w:w="11065" w:type="dxa"/>
            <w:gridSpan w:val="4"/>
            <w:shd w:val="clear" w:color="auto" w:fill="BFBFBF" w:themeFill="background1" w:themeFillShade="BF"/>
          </w:tcPr>
          <w:p w14:paraId="6CBEC9B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063C6E42" w14:textId="77777777" w:rsidTr="00394212">
        <w:tc>
          <w:tcPr>
            <w:tcW w:w="2257" w:type="dxa"/>
            <w:shd w:val="clear" w:color="auto" w:fill="BFBFBF" w:themeFill="background1" w:themeFillShade="BF"/>
          </w:tcPr>
          <w:p w14:paraId="134CD59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05A9B12F" w14:textId="251EA8CF" w:rsidR="00ED1CC4" w:rsidRPr="00283139" w:rsidRDefault="00A07713" w:rsidP="006070D2">
            <w:pPr>
              <w:rPr>
                <w:rFonts w:asciiTheme="minorHAnsi" w:hAnsiTheme="minorHAnsi" w:cs="Arial"/>
                <w:lang w:val="en-GB"/>
              </w:rPr>
            </w:pPr>
            <w:r>
              <w:rPr>
                <w:rFonts w:asciiTheme="minorHAnsi" w:hAnsiTheme="minorHAnsi" w:cs="Arial"/>
                <w:color w:val="222222"/>
                <w:szCs w:val="22"/>
                <w:lang w:val="en-GB"/>
              </w:rPr>
              <w:t>SDN-</w:t>
            </w:r>
            <w:r w:rsidR="00361579">
              <w:rPr>
                <w:rFonts w:asciiTheme="minorHAnsi" w:hAnsiTheme="minorHAnsi" w:cs="Arial"/>
                <w:color w:val="222222"/>
                <w:szCs w:val="22"/>
                <w:lang w:val="en-GB"/>
              </w:rPr>
              <w:t>KRT-</w:t>
            </w:r>
            <w:r w:rsidR="006070D2">
              <w:rPr>
                <w:rFonts w:asciiTheme="minorHAnsi" w:hAnsiTheme="minorHAnsi" w:cs="Arial"/>
                <w:color w:val="222222"/>
                <w:szCs w:val="22"/>
                <w:lang w:val="en-GB"/>
              </w:rPr>
              <w:t>22-033</w:t>
            </w:r>
          </w:p>
        </w:tc>
        <w:tc>
          <w:tcPr>
            <w:tcW w:w="3076" w:type="dxa"/>
            <w:shd w:val="clear" w:color="auto" w:fill="BFBFBF" w:themeFill="background1" w:themeFillShade="BF"/>
          </w:tcPr>
          <w:p w14:paraId="59FF109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87" w:type="dxa"/>
          </w:tcPr>
          <w:p w14:paraId="292B893B" w14:textId="2938FD3D" w:rsidR="00ED1CC4" w:rsidRPr="00283139" w:rsidRDefault="00F8303C" w:rsidP="00ED1CC4">
            <w:pPr>
              <w:rPr>
                <w:rFonts w:asciiTheme="minorHAnsi" w:hAnsiTheme="minorHAnsi" w:cs="Arial"/>
                <w:lang w:val="en-GB"/>
              </w:rPr>
            </w:pPr>
            <w:r>
              <w:rPr>
                <w:rFonts w:asciiTheme="minorHAnsi" w:hAnsiTheme="minorHAnsi" w:cs="Arial"/>
                <w:lang w:val="en-GB"/>
              </w:rPr>
              <w:t>USD</w:t>
            </w:r>
          </w:p>
        </w:tc>
      </w:tr>
      <w:tr w:rsidR="00ED1CC4" w:rsidRPr="00283139" w14:paraId="7106E4D1" w14:textId="77777777" w:rsidTr="00394212">
        <w:tc>
          <w:tcPr>
            <w:tcW w:w="2257" w:type="dxa"/>
            <w:shd w:val="clear" w:color="auto" w:fill="BFBFBF" w:themeFill="background1" w:themeFillShade="BF"/>
          </w:tcPr>
          <w:p w14:paraId="575E9AF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636AD588" w14:textId="53A612EE" w:rsidR="00ED1CC4" w:rsidRPr="00283139" w:rsidRDefault="006070D2" w:rsidP="006070D2">
            <w:pPr>
              <w:rPr>
                <w:rFonts w:asciiTheme="minorHAnsi" w:hAnsiTheme="minorHAnsi" w:cs="Arial"/>
                <w:lang w:val="en-GB"/>
              </w:rPr>
            </w:pPr>
            <w:r>
              <w:rPr>
                <w:rFonts w:asciiTheme="minorHAnsi" w:hAnsiTheme="minorHAnsi" w:cs="Arial"/>
                <w:lang w:val="en-GB"/>
              </w:rPr>
              <w:t>4</w:t>
            </w:r>
            <w:r w:rsidR="004F4166">
              <w:rPr>
                <w:rFonts w:asciiTheme="minorHAnsi" w:hAnsiTheme="minorHAnsi" w:cs="Arial"/>
                <w:lang w:val="en-GB"/>
              </w:rPr>
              <w:t>-</w:t>
            </w:r>
            <w:r>
              <w:rPr>
                <w:rFonts w:asciiTheme="minorHAnsi" w:hAnsiTheme="minorHAnsi" w:cs="Arial"/>
                <w:lang w:val="en-GB"/>
              </w:rPr>
              <w:t>April</w:t>
            </w:r>
            <w:r w:rsidR="00ED7A6D">
              <w:rPr>
                <w:rFonts w:asciiTheme="minorHAnsi" w:hAnsiTheme="minorHAnsi" w:cs="Arial"/>
                <w:lang w:val="en-GB"/>
              </w:rPr>
              <w:t>-2022</w:t>
            </w:r>
          </w:p>
        </w:tc>
        <w:tc>
          <w:tcPr>
            <w:tcW w:w="3076" w:type="dxa"/>
            <w:shd w:val="clear" w:color="auto" w:fill="BFBFBF" w:themeFill="background1" w:themeFillShade="BF"/>
          </w:tcPr>
          <w:p w14:paraId="148EB54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987" w:type="dxa"/>
          </w:tcPr>
          <w:p w14:paraId="41CD035D" w14:textId="771F01B7" w:rsidR="00ED1CC4" w:rsidRPr="00283139" w:rsidRDefault="00E7605E" w:rsidP="00ED1CC4">
            <w:pPr>
              <w:rPr>
                <w:rFonts w:asciiTheme="minorHAnsi" w:hAnsiTheme="minorHAnsi" w:cs="Arial"/>
                <w:lang w:val="en-GB"/>
              </w:rPr>
            </w:pPr>
            <w:r>
              <w:rPr>
                <w:rFonts w:asciiTheme="minorHAnsi" w:hAnsiTheme="minorHAnsi" w:cs="Arial"/>
                <w:lang w:val="en-GB"/>
              </w:rPr>
              <w:t>3</w:t>
            </w:r>
            <w:r w:rsidR="007A7E93">
              <w:rPr>
                <w:rFonts w:asciiTheme="minorHAnsi" w:hAnsiTheme="minorHAnsi" w:cs="Arial"/>
                <w:lang w:val="en-GB"/>
              </w:rPr>
              <w:t>0</w:t>
            </w:r>
            <w:r w:rsidR="00ED1CC4">
              <w:rPr>
                <w:rFonts w:asciiTheme="minorHAnsi" w:hAnsiTheme="minorHAnsi" w:cs="Arial"/>
                <w:lang w:val="en-GB"/>
              </w:rPr>
              <w:t xml:space="preserve"> days</w:t>
            </w:r>
          </w:p>
        </w:tc>
      </w:tr>
      <w:tr w:rsidR="00ED1CC4" w:rsidRPr="00283139" w14:paraId="376C6C0A" w14:textId="77777777" w:rsidTr="00394212">
        <w:tc>
          <w:tcPr>
            <w:tcW w:w="2257" w:type="dxa"/>
            <w:shd w:val="clear" w:color="auto" w:fill="BFBFBF" w:themeFill="background1" w:themeFillShade="BF"/>
          </w:tcPr>
          <w:p w14:paraId="3085248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7ED83486" w14:textId="63769978" w:rsidR="00ED1CC4" w:rsidRPr="00283139" w:rsidRDefault="006070D2" w:rsidP="006070D2">
            <w:pPr>
              <w:rPr>
                <w:rFonts w:asciiTheme="minorHAnsi" w:hAnsiTheme="minorHAnsi" w:cs="Arial"/>
                <w:lang w:val="en-GB"/>
              </w:rPr>
            </w:pPr>
            <w:r>
              <w:rPr>
                <w:rFonts w:asciiTheme="minorHAnsi" w:hAnsiTheme="minorHAnsi" w:cs="Arial"/>
                <w:lang w:val="en-GB"/>
              </w:rPr>
              <w:t>13</w:t>
            </w:r>
            <w:r w:rsidR="006C45B5">
              <w:rPr>
                <w:rFonts w:asciiTheme="minorHAnsi" w:hAnsiTheme="minorHAnsi" w:cs="Arial"/>
                <w:lang w:val="en-GB"/>
              </w:rPr>
              <w:t>-</w:t>
            </w:r>
            <w:r>
              <w:rPr>
                <w:rFonts w:asciiTheme="minorHAnsi" w:hAnsiTheme="minorHAnsi" w:cs="Arial"/>
                <w:lang w:val="en-GB"/>
              </w:rPr>
              <w:t>April</w:t>
            </w:r>
            <w:r w:rsidR="007D36FA">
              <w:rPr>
                <w:rFonts w:asciiTheme="minorHAnsi" w:hAnsiTheme="minorHAnsi" w:cs="Arial"/>
                <w:lang w:val="en-GB"/>
              </w:rPr>
              <w:t xml:space="preserve"> </w:t>
            </w:r>
            <w:r w:rsidR="008F0443">
              <w:rPr>
                <w:rFonts w:asciiTheme="minorHAnsi" w:hAnsiTheme="minorHAnsi" w:cs="Arial"/>
                <w:lang w:val="en-GB"/>
              </w:rPr>
              <w:t>20</w:t>
            </w:r>
            <w:r w:rsidR="00ED7A6D">
              <w:rPr>
                <w:rFonts w:asciiTheme="minorHAnsi" w:hAnsiTheme="minorHAnsi" w:cs="Arial"/>
                <w:lang w:val="en-GB"/>
              </w:rPr>
              <w:t>22</w:t>
            </w:r>
          </w:p>
        </w:tc>
        <w:tc>
          <w:tcPr>
            <w:tcW w:w="3076" w:type="dxa"/>
            <w:shd w:val="clear" w:color="auto" w:fill="BFBFBF" w:themeFill="background1" w:themeFillShade="BF"/>
          </w:tcPr>
          <w:p w14:paraId="4763E9D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987" w:type="dxa"/>
          </w:tcPr>
          <w:p w14:paraId="5F0E01EB" w14:textId="68398FC7" w:rsidR="00ED1CC4" w:rsidRPr="00283139" w:rsidRDefault="00F52C9D" w:rsidP="00F52C9D">
            <w:pPr>
              <w:rPr>
                <w:rFonts w:asciiTheme="minorHAnsi" w:hAnsiTheme="minorHAnsi" w:cs="Arial"/>
                <w:lang w:val="en-GB"/>
              </w:rPr>
            </w:pPr>
            <w:r>
              <w:rPr>
                <w:rFonts w:asciiTheme="minorHAnsi" w:hAnsiTheme="minorHAnsi" w:cs="Arial"/>
                <w:lang w:val="en-GB"/>
              </w:rPr>
              <w:t>20</w:t>
            </w:r>
            <w:r w:rsidR="00BD5BF5">
              <w:rPr>
                <w:rFonts w:asciiTheme="minorHAnsi" w:hAnsiTheme="minorHAnsi" w:cs="Arial"/>
                <w:lang w:val="en-GB"/>
              </w:rPr>
              <w:t>-</w:t>
            </w:r>
            <w:r>
              <w:rPr>
                <w:rFonts w:asciiTheme="minorHAnsi" w:hAnsiTheme="minorHAnsi" w:cs="Arial"/>
                <w:lang w:val="en-GB"/>
              </w:rPr>
              <w:t>4</w:t>
            </w:r>
            <w:r w:rsidR="00BD5BF5">
              <w:rPr>
                <w:rFonts w:asciiTheme="minorHAnsi" w:hAnsiTheme="minorHAnsi" w:cs="Arial"/>
                <w:lang w:val="en-GB"/>
              </w:rPr>
              <w:t>-202</w:t>
            </w:r>
            <w:r w:rsidR="00ED7A6D">
              <w:rPr>
                <w:rFonts w:asciiTheme="minorHAnsi" w:hAnsiTheme="minorHAnsi" w:cs="Arial"/>
                <w:lang w:val="en-GB"/>
              </w:rPr>
              <w:t>2</w:t>
            </w:r>
            <w:r w:rsidR="00BD5BF5">
              <w:rPr>
                <w:rFonts w:asciiTheme="minorHAnsi" w:hAnsiTheme="minorHAnsi" w:cs="Arial"/>
                <w:lang w:val="en-GB"/>
              </w:rPr>
              <w:t xml:space="preserve"> –</w:t>
            </w:r>
            <w:r>
              <w:rPr>
                <w:rFonts w:asciiTheme="minorHAnsi" w:hAnsiTheme="minorHAnsi" w:cs="Arial"/>
                <w:lang w:val="en-GB"/>
              </w:rPr>
              <w:t>25</w:t>
            </w:r>
            <w:bookmarkStart w:id="0" w:name="_GoBack"/>
            <w:bookmarkEnd w:id="0"/>
            <w:r w:rsidR="006420FA">
              <w:rPr>
                <w:rFonts w:asciiTheme="minorHAnsi" w:hAnsiTheme="minorHAnsi" w:cs="Arial"/>
                <w:lang w:val="en-GB"/>
              </w:rPr>
              <w:t>-</w:t>
            </w:r>
            <w:r w:rsidR="006070D2">
              <w:rPr>
                <w:rFonts w:asciiTheme="minorHAnsi" w:hAnsiTheme="minorHAnsi" w:cs="Arial"/>
                <w:lang w:val="en-GB"/>
              </w:rPr>
              <w:t>May</w:t>
            </w:r>
            <w:r w:rsidR="00394212">
              <w:rPr>
                <w:rFonts w:asciiTheme="minorHAnsi" w:hAnsiTheme="minorHAnsi" w:cs="Arial"/>
                <w:lang w:val="en-GB"/>
              </w:rPr>
              <w:t>-202</w:t>
            </w:r>
            <w:r w:rsidR="00ED7A6D">
              <w:rPr>
                <w:rFonts w:asciiTheme="minorHAnsi" w:hAnsiTheme="minorHAnsi" w:cs="Arial"/>
                <w:lang w:val="en-GB"/>
              </w:rPr>
              <w:t>2</w:t>
            </w:r>
          </w:p>
        </w:tc>
      </w:tr>
      <w:tr w:rsidR="00ED1CC4" w:rsidRPr="00283139" w14:paraId="38CC10B6" w14:textId="77777777" w:rsidTr="00394212">
        <w:tc>
          <w:tcPr>
            <w:tcW w:w="2257" w:type="dxa"/>
            <w:shd w:val="clear" w:color="auto" w:fill="BFBFBF" w:themeFill="background1" w:themeFillShade="BF"/>
          </w:tcPr>
          <w:p w14:paraId="5579830A"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31A4F472" w14:textId="2117A853" w:rsidR="00ED1CC4" w:rsidRPr="00283139" w:rsidRDefault="007A7E93" w:rsidP="00ED1CC4">
            <w:pPr>
              <w:rPr>
                <w:rFonts w:asciiTheme="minorHAnsi" w:hAnsiTheme="minorHAnsi" w:cs="Arial"/>
                <w:lang w:val="en-GB"/>
              </w:rPr>
            </w:pPr>
            <w:r>
              <w:rPr>
                <w:rFonts w:asciiTheme="minorHAnsi" w:hAnsiTheme="minorHAnsi" w:cs="Arial"/>
                <w:lang w:val="en-GB"/>
              </w:rPr>
              <w:t>4</w:t>
            </w:r>
            <w:r w:rsidR="00ED1CC4">
              <w:rPr>
                <w:rFonts w:asciiTheme="minorHAnsi" w:hAnsiTheme="minorHAnsi" w:cs="Arial"/>
                <w:lang w:val="en-GB"/>
              </w:rPr>
              <w:t>:00 pm</w:t>
            </w:r>
          </w:p>
        </w:tc>
        <w:tc>
          <w:tcPr>
            <w:tcW w:w="3076" w:type="dxa"/>
            <w:shd w:val="clear" w:color="auto" w:fill="BFBFBF" w:themeFill="background1" w:themeFillShade="BF"/>
          </w:tcPr>
          <w:p w14:paraId="20427CC7"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987" w:type="dxa"/>
          </w:tcPr>
          <w:p w14:paraId="31B99D16" w14:textId="7FF1F6A7" w:rsidR="00ED1CC4" w:rsidRPr="00213B7B" w:rsidRDefault="00651792" w:rsidP="00394212">
            <w:pPr>
              <w:rPr>
                <w:rFonts w:asciiTheme="minorHAnsi" w:hAnsiTheme="minorHAnsi" w:cs="Arial"/>
                <w:sz w:val="24"/>
                <w:lang w:val="en-GB"/>
              </w:rPr>
            </w:pPr>
            <w:r>
              <w:rPr>
                <w:rFonts w:asciiTheme="minorHAnsi" w:hAnsiTheme="minorHAnsi" w:cs="Arial"/>
                <w:b/>
                <w:sz w:val="24"/>
                <w:lang w:val="en-GB"/>
              </w:rPr>
              <w:t>Khartoum</w:t>
            </w:r>
          </w:p>
        </w:tc>
      </w:tr>
      <w:tr w:rsidR="00ED1CC4" w:rsidRPr="00283139" w14:paraId="1DF8ABCF" w14:textId="77777777" w:rsidTr="00394212">
        <w:tc>
          <w:tcPr>
            <w:tcW w:w="2257" w:type="dxa"/>
            <w:shd w:val="clear" w:color="auto" w:fill="BFBFBF" w:themeFill="background1" w:themeFillShade="BF"/>
          </w:tcPr>
          <w:p w14:paraId="07A9E70B"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1C114B11" w14:textId="78FC473E" w:rsidR="00ED1CC4" w:rsidRPr="00283139" w:rsidRDefault="006070D2" w:rsidP="00430136">
            <w:pPr>
              <w:rPr>
                <w:rFonts w:asciiTheme="minorHAnsi" w:hAnsiTheme="minorHAnsi" w:cs="Arial"/>
                <w:lang w:val="en-GB"/>
              </w:rPr>
            </w:pPr>
            <w:r w:rsidRPr="006070D2">
              <w:rPr>
                <w:rFonts w:asciiTheme="minorHAnsi" w:hAnsiTheme="minorHAnsi" w:cs="Arial"/>
                <w:lang w:val="en-GB"/>
              </w:rPr>
              <w:t>muhammad.shoaib@drc.ngo</w:t>
            </w:r>
          </w:p>
        </w:tc>
        <w:tc>
          <w:tcPr>
            <w:tcW w:w="3076" w:type="dxa"/>
            <w:shd w:val="clear" w:color="auto" w:fill="BFBFBF" w:themeFill="background1" w:themeFillShade="BF"/>
          </w:tcPr>
          <w:p w14:paraId="5E799C3F"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987" w:type="dxa"/>
          </w:tcPr>
          <w:p w14:paraId="7A6C0B41" w14:textId="048157E9" w:rsidR="00ED1CC4" w:rsidRPr="00283139" w:rsidRDefault="00362AC0" w:rsidP="00995CCC">
            <w:pPr>
              <w:rPr>
                <w:rFonts w:asciiTheme="minorHAnsi" w:hAnsiTheme="minorHAnsi" w:cs="Arial"/>
                <w:lang w:val="en-GB"/>
              </w:rPr>
            </w:pPr>
            <w:r>
              <w:rPr>
                <w:rFonts w:asciiTheme="minorHAnsi" w:hAnsiTheme="minorHAnsi" w:cs="Arial"/>
                <w:lang w:val="en-GB"/>
              </w:rPr>
              <w:t xml:space="preserve">DDP/ </w:t>
            </w:r>
            <w:r w:rsidR="007A7E93">
              <w:rPr>
                <w:rFonts w:asciiTheme="minorHAnsi" w:hAnsiTheme="minorHAnsi" w:cs="Arial"/>
                <w:lang w:val="en-GB"/>
              </w:rPr>
              <w:t>DPU (INCOTERMS 2020</w:t>
            </w:r>
            <w:r w:rsidR="00ED1CC4" w:rsidRPr="00283139">
              <w:rPr>
                <w:rFonts w:asciiTheme="minorHAnsi" w:hAnsiTheme="minorHAnsi" w:cs="Arial"/>
                <w:lang w:val="en-GB"/>
              </w:rPr>
              <w:t>)</w:t>
            </w:r>
          </w:p>
        </w:tc>
      </w:tr>
    </w:tbl>
    <w:tbl>
      <w:tblPr>
        <w:tblStyle w:val="TableGrid"/>
        <w:tblpPr w:leftFromText="141" w:rightFromText="141" w:vertAnchor="text" w:horzAnchor="margin" w:tblpXSpec="center" w:tblpY="169"/>
        <w:tblW w:w="11550" w:type="dxa"/>
        <w:tblLayout w:type="fixed"/>
        <w:tblLook w:val="04A0" w:firstRow="1" w:lastRow="0" w:firstColumn="1" w:lastColumn="0" w:noHBand="0" w:noVBand="1"/>
      </w:tblPr>
      <w:tblGrid>
        <w:gridCol w:w="535"/>
        <w:gridCol w:w="4325"/>
        <w:gridCol w:w="1080"/>
        <w:gridCol w:w="990"/>
        <w:gridCol w:w="2160"/>
        <w:gridCol w:w="1118"/>
        <w:gridCol w:w="1342"/>
      </w:tblGrid>
      <w:tr w:rsidR="00DB3C09" w:rsidRPr="00283139" w14:paraId="7BAE5CAC" w14:textId="77777777" w:rsidTr="005474B8">
        <w:trPr>
          <w:trHeight w:val="610"/>
        </w:trPr>
        <w:tc>
          <w:tcPr>
            <w:tcW w:w="535" w:type="dxa"/>
            <w:tcBorders>
              <w:bottom w:val="single" w:sz="4" w:space="0" w:color="auto"/>
            </w:tcBorders>
            <w:shd w:val="clear" w:color="auto" w:fill="A6A6A6" w:themeFill="background1" w:themeFillShade="A6"/>
          </w:tcPr>
          <w:p w14:paraId="73EB3360" w14:textId="77777777" w:rsidR="00DB3C09" w:rsidRPr="00283139" w:rsidRDefault="00DB3C09" w:rsidP="0030286F">
            <w:pPr>
              <w:jc w:val="center"/>
              <w:rPr>
                <w:rFonts w:asciiTheme="minorHAnsi" w:hAnsiTheme="minorHAnsi" w:cs="Arial"/>
                <w:b/>
                <w:sz w:val="28"/>
                <w:szCs w:val="28"/>
                <w:lang w:val="en-GB"/>
              </w:rPr>
            </w:pPr>
          </w:p>
        </w:tc>
        <w:tc>
          <w:tcPr>
            <w:tcW w:w="8555" w:type="dxa"/>
            <w:gridSpan w:val="4"/>
            <w:tcBorders>
              <w:bottom w:val="single" w:sz="4" w:space="0" w:color="auto"/>
            </w:tcBorders>
            <w:shd w:val="clear" w:color="auto" w:fill="A6A6A6" w:themeFill="background1" w:themeFillShade="A6"/>
          </w:tcPr>
          <w:p w14:paraId="0CF2A66F" w14:textId="2E1EF008"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460" w:type="dxa"/>
            <w:gridSpan w:val="2"/>
            <w:tcBorders>
              <w:bottom w:val="single" w:sz="4" w:space="0" w:color="auto"/>
            </w:tcBorders>
            <w:shd w:val="clear" w:color="auto" w:fill="A6A6A6" w:themeFill="background1" w:themeFillShade="A6"/>
          </w:tcPr>
          <w:p w14:paraId="53E7B8EE" w14:textId="77777777"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7BA448E6" w14:textId="77777777" w:rsidTr="005474B8">
        <w:trPr>
          <w:trHeight w:val="471"/>
        </w:trPr>
        <w:tc>
          <w:tcPr>
            <w:tcW w:w="535" w:type="dxa"/>
            <w:shd w:val="clear" w:color="auto" w:fill="D9D9D9" w:themeFill="background1" w:themeFillShade="D9"/>
          </w:tcPr>
          <w:p w14:paraId="6B2626FF"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Item #</w:t>
            </w:r>
          </w:p>
        </w:tc>
        <w:tc>
          <w:tcPr>
            <w:tcW w:w="4325" w:type="dxa"/>
            <w:shd w:val="clear" w:color="auto" w:fill="D9D9D9" w:themeFill="background1" w:themeFillShade="D9"/>
          </w:tcPr>
          <w:p w14:paraId="31B2EFDC"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1080" w:type="dxa"/>
            <w:shd w:val="clear" w:color="auto" w:fill="D9D9D9" w:themeFill="background1" w:themeFillShade="D9"/>
          </w:tcPr>
          <w:p w14:paraId="7C14413E" w14:textId="77777777" w:rsidR="00980098" w:rsidRPr="00283139" w:rsidRDefault="00980098" w:rsidP="00980098">
            <w:pPr>
              <w:jc w:val="center"/>
              <w:rPr>
                <w:rFonts w:asciiTheme="minorHAnsi" w:hAnsiTheme="minorHAnsi" w:cs="Arial"/>
                <w:lang w:val="en-GB"/>
              </w:rPr>
            </w:pPr>
            <w:r w:rsidRPr="00283139">
              <w:rPr>
                <w:rFonts w:asciiTheme="minorHAnsi" w:hAnsiTheme="minorHAnsi" w:cs="Arial"/>
                <w:lang w:val="en-GB"/>
              </w:rPr>
              <w:t>Unit/</w:t>
            </w:r>
          </w:p>
          <w:p w14:paraId="3A7F8D95" w14:textId="3017D3B9" w:rsidR="00DB3C09" w:rsidRPr="00283139" w:rsidRDefault="00980098" w:rsidP="00980098">
            <w:pPr>
              <w:jc w:val="center"/>
              <w:rPr>
                <w:rFonts w:asciiTheme="minorHAnsi" w:hAnsiTheme="minorHAnsi" w:cs="Arial"/>
                <w:lang w:val="en-GB"/>
              </w:rPr>
            </w:pPr>
            <w:r w:rsidRPr="00283139">
              <w:rPr>
                <w:rFonts w:asciiTheme="minorHAnsi" w:hAnsiTheme="minorHAnsi" w:cs="Arial"/>
                <w:lang w:val="en-GB"/>
              </w:rPr>
              <w:t>Measure</w:t>
            </w:r>
          </w:p>
        </w:tc>
        <w:tc>
          <w:tcPr>
            <w:tcW w:w="990" w:type="dxa"/>
            <w:shd w:val="clear" w:color="auto" w:fill="D9D9D9" w:themeFill="background1" w:themeFillShade="D9"/>
          </w:tcPr>
          <w:p w14:paraId="385E232B" w14:textId="26BBF740" w:rsidR="00DB3C09" w:rsidRPr="00283139" w:rsidRDefault="00980098" w:rsidP="0030286F">
            <w:pPr>
              <w:jc w:val="center"/>
              <w:rPr>
                <w:rFonts w:asciiTheme="minorHAnsi" w:hAnsiTheme="minorHAnsi" w:cs="Arial"/>
                <w:lang w:val="en-GB"/>
              </w:rPr>
            </w:pPr>
            <w:r w:rsidRPr="00980098">
              <w:rPr>
                <w:rFonts w:asciiTheme="minorHAnsi" w:hAnsiTheme="minorHAnsi" w:cs="Arial"/>
                <w:lang w:val="en-GB"/>
              </w:rPr>
              <w:t>Quantity Required</w:t>
            </w:r>
          </w:p>
        </w:tc>
        <w:tc>
          <w:tcPr>
            <w:tcW w:w="2160" w:type="dxa"/>
            <w:shd w:val="clear" w:color="auto" w:fill="D9D9D9" w:themeFill="background1" w:themeFillShade="D9"/>
          </w:tcPr>
          <w:p w14:paraId="0E77FCEB" w14:textId="2A7D6BD4" w:rsidR="00DB3C09" w:rsidRPr="00283139" w:rsidRDefault="00980098" w:rsidP="00980098">
            <w:pPr>
              <w:jc w:val="center"/>
              <w:rPr>
                <w:rFonts w:asciiTheme="minorHAnsi" w:hAnsiTheme="minorHAnsi" w:cs="Arial"/>
                <w:lang w:val="en-GB"/>
              </w:rPr>
            </w:pPr>
            <w:r w:rsidRPr="00980098">
              <w:rPr>
                <w:rFonts w:asciiTheme="minorHAnsi" w:hAnsiTheme="minorHAnsi" w:cs="Arial"/>
                <w:u w:val="single"/>
                <w:lang w:val="en-GB"/>
              </w:rPr>
              <w:t xml:space="preserve">Specifications </w:t>
            </w:r>
            <w:r w:rsidRPr="00980098">
              <w:rPr>
                <w:rFonts w:asciiTheme="minorHAnsi" w:hAnsiTheme="minorHAnsi" w:cs="Arial"/>
                <w:lang w:val="en-GB"/>
              </w:rPr>
              <w:t>Offered</w:t>
            </w:r>
          </w:p>
        </w:tc>
        <w:tc>
          <w:tcPr>
            <w:tcW w:w="1118" w:type="dxa"/>
            <w:shd w:val="clear" w:color="auto" w:fill="D9D9D9" w:themeFill="background1" w:themeFillShade="D9"/>
          </w:tcPr>
          <w:p w14:paraId="2C2E841C" w14:textId="77777777" w:rsidR="00DB3C09" w:rsidRPr="00283139" w:rsidRDefault="00DB3C09" w:rsidP="0030286F">
            <w:pPr>
              <w:jc w:val="center"/>
              <w:rPr>
                <w:rFonts w:asciiTheme="minorHAnsi" w:hAnsiTheme="minorHAnsi" w:cs="Arial"/>
                <w:lang w:val="en-GB"/>
              </w:rPr>
            </w:pPr>
            <w:r>
              <w:rPr>
                <w:rFonts w:asciiTheme="minorHAnsi" w:hAnsiTheme="minorHAnsi" w:cs="Arial"/>
                <w:lang w:val="en-GB"/>
              </w:rPr>
              <w:t>Unit Price</w:t>
            </w:r>
          </w:p>
        </w:tc>
        <w:tc>
          <w:tcPr>
            <w:tcW w:w="1342" w:type="dxa"/>
            <w:shd w:val="clear" w:color="auto" w:fill="D9D9D9" w:themeFill="background1" w:themeFillShade="D9"/>
          </w:tcPr>
          <w:p w14:paraId="0F8EFD9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9168B2" w:rsidRPr="00283139" w14:paraId="3406A516" w14:textId="77777777" w:rsidTr="006070D2">
        <w:trPr>
          <w:trHeight w:val="821"/>
        </w:trPr>
        <w:tc>
          <w:tcPr>
            <w:tcW w:w="535" w:type="dxa"/>
          </w:tcPr>
          <w:p w14:paraId="29F9F3E7" w14:textId="77777777" w:rsidR="00353C36" w:rsidRDefault="00353C36" w:rsidP="009168B2">
            <w:pPr>
              <w:rPr>
                <w:rFonts w:asciiTheme="minorHAnsi" w:hAnsiTheme="minorHAnsi" w:cs="Arial"/>
                <w:lang w:val="en-GB"/>
              </w:rPr>
            </w:pPr>
          </w:p>
          <w:p w14:paraId="1492E865" w14:textId="179E2B90" w:rsidR="009168B2" w:rsidRDefault="009168B2" w:rsidP="009168B2">
            <w:pPr>
              <w:rPr>
                <w:rFonts w:asciiTheme="minorHAnsi" w:hAnsiTheme="minorHAnsi" w:cs="Arial"/>
                <w:lang w:val="en-GB"/>
              </w:rPr>
            </w:pPr>
            <w:r>
              <w:rPr>
                <w:rFonts w:asciiTheme="minorHAnsi" w:hAnsiTheme="minorHAnsi" w:cs="Arial"/>
                <w:lang w:val="en-GB"/>
              </w:rPr>
              <w:t>1</w:t>
            </w:r>
            <w:r w:rsidR="006420FA">
              <w:rPr>
                <w:rFonts w:asciiTheme="minorHAnsi" w:hAnsiTheme="minorHAnsi" w:cs="Arial"/>
                <w:lang w:val="en-GB"/>
              </w:rPr>
              <w:t>-</w:t>
            </w:r>
          </w:p>
        </w:tc>
        <w:tc>
          <w:tcPr>
            <w:tcW w:w="4325" w:type="dxa"/>
            <w:vAlign w:val="bottom"/>
          </w:tcPr>
          <w:p w14:paraId="62EA25F5" w14:textId="479E09B0" w:rsidR="009168B2" w:rsidRPr="001131CD" w:rsidRDefault="00F52C9D" w:rsidP="009168B2">
            <w:pPr>
              <w:spacing w:line="360" w:lineRule="auto"/>
              <w:rPr>
                <w:rFonts w:asciiTheme="minorHAnsi" w:hAnsiTheme="minorHAnsi" w:cs="Arial"/>
                <w:lang w:val="en-GB"/>
              </w:rPr>
            </w:pPr>
            <w:r>
              <w:rPr>
                <w:rFonts w:asciiTheme="minorHAnsi" w:hAnsiTheme="minorHAnsi" w:cs="Arial"/>
                <w:b/>
                <w:bCs/>
                <w:color w:val="222222"/>
                <w:szCs w:val="22"/>
                <w:lang w:val="en-GB"/>
              </w:rPr>
              <w:t>Statutory Financial Audit Services</w:t>
            </w:r>
            <w:r>
              <w:rPr>
                <w:rFonts w:asciiTheme="minorHAnsi" w:hAnsiTheme="minorHAnsi" w:cs="Arial"/>
                <w:lang w:val="en-GB"/>
              </w:rPr>
              <w:t xml:space="preserve"> </w:t>
            </w:r>
            <w:r w:rsidR="008D4324">
              <w:rPr>
                <w:rFonts w:asciiTheme="minorHAnsi" w:hAnsiTheme="minorHAnsi" w:cs="Arial"/>
                <w:lang w:val="en-GB"/>
              </w:rPr>
              <w:t>as per attached (TORs)</w:t>
            </w:r>
            <w:r w:rsidR="006420FA">
              <w:rPr>
                <w:rFonts w:asciiTheme="minorHAnsi" w:hAnsiTheme="minorHAnsi" w:cs="Arial"/>
                <w:lang w:val="en-GB"/>
              </w:rPr>
              <w:t xml:space="preserve"> </w:t>
            </w:r>
          </w:p>
        </w:tc>
        <w:tc>
          <w:tcPr>
            <w:tcW w:w="1080" w:type="dxa"/>
          </w:tcPr>
          <w:p w14:paraId="423F4739" w14:textId="77777777" w:rsidR="006070D2" w:rsidRDefault="006070D2" w:rsidP="00353C36">
            <w:pPr>
              <w:spacing w:line="360" w:lineRule="auto"/>
              <w:rPr>
                <w:rFonts w:ascii="Calibri" w:hAnsi="Calibri"/>
                <w:color w:val="000000"/>
                <w:szCs w:val="22"/>
                <w:lang w:val="en-GB"/>
              </w:rPr>
            </w:pPr>
          </w:p>
          <w:p w14:paraId="79EF0065" w14:textId="2D236751" w:rsidR="009168B2" w:rsidRPr="004567B3" w:rsidRDefault="006070D2" w:rsidP="00353C36">
            <w:pPr>
              <w:spacing w:line="360" w:lineRule="auto"/>
              <w:rPr>
                <w:rFonts w:ascii="Calibri" w:hAnsi="Calibri"/>
                <w:color w:val="000000"/>
                <w:szCs w:val="22"/>
                <w:lang w:val="en-GB"/>
              </w:rPr>
            </w:pPr>
            <w:r>
              <w:rPr>
                <w:rFonts w:ascii="Calibri" w:hAnsi="Calibri"/>
                <w:color w:val="000000"/>
                <w:szCs w:val="22"/>
                <w:lang w:val="en-GB"/>
              </w:rPr>
              <w:t>Audit</w:t>
            </w:r>
          </w:p>
        </w:tc>
        <w:tc>
          <w:tcPr>
            <w:tcW w:w="990" w:type="dxa"/>
            <w:vAlign w:val="center"/>
          </w:tcPr>
          <w:p w14:paraId="4BBF1BD8" w14:textId="1BEE3EDD" w:rsidR="009168B2" w:rsidRPr="00283139" w:rsidRDefault="006070D2" w:rsidP="00D96075">
            <w:pPr>
              <w:jc w:val="center"/>
              <w:rPr>
                <w:rFonts w:asciiTheme="minorHAnsi" w:hAnsiTheme="minorHAnsi" w:cs="Arial"/>
                <w:lang w:val="en-GB"/>
              </w:rPr>
            </w:pPr>
            <w:r>
              <w:rPr>
                <w:rFonts w:asciiTheme="minorHAnsi" w:hAnsiTheme="minorHAnsi" w:cs="Arial"/>
                <w:lang w:val="en-GB"/>
              </w:rPr>
              <w:t>1</w:t>
            </w:r>
          </w:p>
        </w:tc>
        <w:tc>
          <w:tcPr>
            <w:tcW w:w="2160" w:type="dxa"/>
            <w:vAlign w:val="center"/>
          </w:tcPr>
          <w:p w14:paraId="7D9C0043" w14:textId="4009049B" w:rsidR="009168B2" w:rsidRPr="00283139" w:rsidRDefault="009168B2" w:rsidP="009168B2">
            <w:pPr>
              <w:jc w:val="center"/>
              <w:rPr>
                <w:rFonts w:asciiTheme="minorHAnsi" w:hAnsiTheme="minorHAnsi" w:cs="Arial"/>
                <w:lang w:val="en-GB"/>
              </w:rPr>
            </w:pPr>
          </w:p>
        </w:tc>
        <w:tc>
          <w:tcPr>
            <w:tcW w:w="1118" w:type="dxa"/>
          </w:tcPr>
          <w:p w14:paraId="64C2FF87" w14:textId="77777777" w:rsidR="009168B2" w:rsidRPr="00283139" w:rsidRDefault="009168B2" w:rsidP="009168B2">
            <w:pPr>
              <w:jc w:val="right"/>
              <w:rPr>
                <w:rFonts w:asciiTheme="minorHAnsi" w:hAnsiTheme="minorHAnsi" w:cs="Arial"/>
                <w:lang w:val="en-GB"/>
              </w:rPr>
            </w:pPr>
          </w:p>
        </w:tc>
        <w:tc>
          <w:tcPr>
            <w:tcW w:w="1342" w:type="dxa"/>
          </w:tcPr>
          <w:p w14:paraId="27D1BB2E" w14:textId="77777777" w:rsidR="009168B2" w:rsidRPr="00283139" w:rsidRDefault="009168B2" w:rsidP="009168B2">
            <w:pPr>
              <w:jc w:val="center"/>
              <w:rPr>
                <w:rFonts w:asciiTheme="minorHAnsi" w:hAnsiTheme="minorHAnsi" w:cs="Arial"/>
                <w:lang w:val="en-GB"/>
              </w:rPr>
            </w:pPr>
          </w:p>
        </w:tc>
      </w:tr>
    </w:tbl>
    <w:p w14:paraId="7701F563" w14:textId="77777777" w:rsidR="00651792" w:rsidRDefault="00651792" w:rsidP="00651792">
      <w:pPr>
        <w:rPr>
          <w:rFonts w:asciiTheme="minorHAnsi" w:hAnsiTheme="minorHAnsi" w:cs="Arial"/>
          <w:szCs w:val="22"/>
          <w:lang w:val="en-GB"/>
        </w:rPr>
      </w:pPr>
    </w:p>
    <w:p w14:paraId="429B0DC9" w14:textId="77777777" w:rsidR="00DB7EE7" w:rsidRPr="00283139" w:rsidRDefault="00DB7EE7" w:rsidP="00DB7EE7">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5408" behindDoc="0" locked="0" layoutInCell="1" allowOverlap="1" wp14:anchorId="4F9191E1" wp14:editId="1E9657A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7B16E8BD" w14:textId="77777777" w:rsidR="00DB7EE7" w:rsidRPr="00283139" w:rsidRDefault="00DB7EE7" w:rsidP="00DB7EE7">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91E1" id="_x0000_s1028" type="#_x0000_t202" style="position:absolute;margin-left:88.55pt;margin-top:20.7pt;width:75.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14:paraId="7B16E8BD" w14:textId="77777777" w:rsidR="00DB7EE7" w:rsidRPr="00283139" w:rsidRDefault="00DB7EE7" w:rsidP="00DB7EE7">
                      <w:pPr>
                        <w:jc w:val="center"/>
                        <w:rPr>
                          <w:rFonts w:asciiTheme="minorHAnsi" w:hAnsiTheme="minorHAnsi"/>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7816AF9D" w14:textId="0233A19F" w:rsidR="00DB7EE7" w:rsidRPr="00DB7EE7" w:rsidRDefault="00DB7EE7" w:rsidP="00DB7EE7">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Pr="00283139">
        <w:rPr>
          <w:rFonts w:asciiTheme="minorHAnsi" w:hAnsiTheme="minorHAnsi" w:cs="Arial"/>
          <w:b/>
          <w:color w:val="FFFFFF" w:themeColor="background1"/>
          <w:szCs w:val="22"/>
          <w:lang w:val="en-GB"/>
        </w:rPr>
        <w:t xml:space="preserve"> </w:t>
      </w:r>
      <w:r>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2DF7108A" w14:textId="618E4F70"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w:t>
      </w:r>
      <w:r w:rsidR="00D5155C">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and the DRC Code of Ethics. I further certify that the above mentioned company has not engaged in corrupt, fraudulent, collusive, or coercive practices in competing for, or in executing, any Contracts.</w:t>
      </w:r>
    </w:p>
    <w:p w14:paraId="7A425BB7" w14:textId="5CC5CED3"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ED616D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5ED616D4" w14:textId="77777777" w:rsidR="00CF1805" w:rsidRPr="00283139" w:rsidRDefault="00CF1805" w:rsidP="00CF1805">
                      <w:pPr>
                        <w:jc w:val="center"/>
                        <w:rPr>
                          <w:rFonts w:asciiTheme="minorHAnsi" w:hAnsiTheme="minorHAnsi"/>
                        </w:rPr>
                      </w:pPr>
                    </w:p>
                  </w:txbxContent>
                </v:textbox>
              </v:shape>
            </w:pict>
          </mc:Fallback>
        </mc:AlternateContent>
      </w:r>
    </w:p>
    <w:p w14:paraId="5EC576A9"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86622E9"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B6748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07B67489"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5118B9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35118B91" w14:textId="77777777" w:rsidR="00CF1805" w:rsidRPr="00283139" w:rsidRDefault="00CF1805" w:rsidP="00CF1805">
                      <w:pPr>
                        <w:jc w:val="center"/>
                        <w:rPr>
                          <w:rFonts w:asciiTheme="minorHAnsi" w:hAnsiTheme="minorHAnsi"/>
                        </w:rPr>
                      </w:pPr>
                    </w:p>
                  </w:txbxContent>
                </v:textbox>
              </v:shape>
            </w:pict>
          </mc:Fallback>
        </mc:AlternateContent>
      </w:r>
    </w:p>
    <w:p w14:paraId="1901C6EC" w14:textId="7A4CCF63" w:rsidR="00DB7EE7" w:rsidRPr="00283139" w:rsidRDefault="00CF1805" w:rsidP="009D5A37">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160E32BE" w14:textId="029FC7A9" w:rsidR="0098451A" w:rsidRPr="005D4560"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1" w:name="_Hlk521582079"/>
    </w:p>
    <w:p w14:paraId="2E327749" w14:textId="6AEDE3A6" w:rsidR="00CF1805"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14:paraId="4343546F" w14:textId="77777777" w:rsidR="006070D2" w:rsidRPr="00283139" w:rsidRDefault="006070D2" w:rsidP="00A26F98">
      <w:pPr>
        <w:shd w:val="clear" w:color="auto" w:fill="FFFFFF"/>
        <w:rPr>
          <w:rFonts w:asciiTheme="minorHAnsi" w:hAnsiTheme="minorHAnsi" w:cs="Arial"/>
          <w:b/>
          <w:color w:val="222222"/>
          <w:sz w:val="18"/>
          <w:szCs w:val="18"/>
          <w:lang w:val="en-GB"/>
        </w:rPr>
      </w:pPr>
    </w:p>
    <w:bookmarkEnd w:id="1"/>
    <w:p w14:paraId="2D28896A" w14:textId="77777777" w:rsidR="006070D2" w:rsidRPr="006070D2" w:rsidRDefault="006070D2" w:rsidP="006070D2">
      <w:pPr>
        <w:spacing w:line="259" w:lineRule="auto"/>
        <w:ind w:right="44"/>
        <w:jc w:val="center"/>
        <w:rPr>
          <w:rFonts w:ascii="Calibri" w:eastAsia="Calibri" w:hAnsi="Calibri" w:cs="Calibri"/>
          <w:color w:val="222222"/>
          <w:sz w:val="17"/>
          <w:szCs w:val="22"/>
          <w:lang w:val="en-US"/>
        </w:rPr>
      </w:pPr>
      <w:r w:rsidRPr="006070D2">
        <w:rPr>
          <w:rFonts w:eastAsia="Arial" w:cs="Arial"/>
          <w:b/>
          <w:color w:val="000000"/>
          <w:sz w:val="26"/>
          <w:szCs w:val="22"/>
          <w:u w:val="single" w:color="000000"/>
          <w:lang w:val="en-US"/>
        </w:rPr>
        <w:t>RFQ INSTRUCTIONS</w:t>
      </w:r>
      <w:r w:rsidRPr="006070D2">
        <w:rPr>
          <w:rFonts w:eastAsia="Arial" w:cs="Arial"/>
          <w:b/>
          <w:color w:val="000000"/>
          <w:sz w:val="26"/>
          <w:szCs w:val="22"/>
          <w:lang w:val="en-US"/>
        </w:rPr>
        <w:t xml:space="preserve"> </w:t>
      </w:r>
    </w:p>
    <w:p w14:paraId="072C6CD2" w14:textId="77777777" w:rsidR="006070D2" w:rsidRPr="006070D2" w:rsidRDefault="006070D2" w:rsidP="006070D2">
      <w:pPr>
        <w:spacing w:after="30" w:line="259" w:lineRule="auto"/>
        <w:rPr>
          <w:rFonts w:ascii="Calibri" w:eastAsia="Calibri" w:hAnsi="Calibri" w:cs="Calibri"/>
          <w:color w:val="222222"/>
          <w:sz w:val="17"/>
          <w:szCs w:val="22"/>
          <w:lang w:val="en-US"/>
        </w:rPr>
      </w:pPr>
      <w:r w:rsidRPr="006070D2">
        <w:rPr>
          <w:rFonts w:eastAsia="Arial" w:cs="Arial"/>
          <w:color w:val="000000"/>
          <w:sz w:val="21"/>
          <w:szCs w:val="22"/>
          <w:lang w:val="en-US"/>
        </w:rPr>
        <w:lastRenderedPageBreak/>
        <w:t xml:space="preserve"> </w:t>
      </w:r>
    </w:p>
    <w:p w14:paraId="4E576870"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Submission of Bid </w:t>
      </w:r>
    </w:p>
    <w:p w14:paraId="0A4E7AB7"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You must submit one original of the RFQ Bid Form in a sealed envelope, clearly marked with the RFQ number and the Bidders name. The bid can be delivered directly to the tender box, mailed or delivered by courier services, or alternatively send by email to the following dedicated, secure &amp; controlled email address: </w:t>
      </w:r>
      <w:r w:rsidRPr="006070D2">
        <w:rPr>
          <w:rFonts w:ascii="Calibri" w:eastAsia="Calibri" w:hAnsi="Calibri" w:cs="Calibri"/>
          <w:color w:val="0000FF"/>
          <w:sz w:val="17"/>
          <w:szCs w:val="22"/>
          <w:u w:val="single" w:color="0000FF"/>
          <w:lang w:val="en-US"/>
        </w:rPr>
        <w:t>rfq.sudan@drc.ngo</w:t>
      </w:r>
      <w:r w:rsidRPr="006070D2">
        <w:rPr>
          <w:rFonts w:ascii="Calibri" w:eastAsia="Calibri" w:hAnsi="Calibri" w:cs="Calibri"/>
          <w:color w:val="000000"/>
          <w:sz w:val="17"/>
          <w:szCs w:val="22"/>
          <w:lang w:val="en-US"/>
        </w:rPr>
        <w:t xml:space="preserve">   </w:t>
      </w:r>
    </w:p>
    <w:p w14:paraId="7FC672C7"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THE RFQ BID FORM CANNOT BE EMAILED TO ANY OTHER DRC EMAIL ADDRESS</w:t>
      </w:r>
      <w:r w:rsidRPr="006070D2">
        <w:rPr>
          <w:rFonts w:ascii="Calibri" w:eastAsia="Calibri" w:hAnsi="Calibri" w:cs="Calibri"/>
          <w:color w:val="222222"/>
          <w:sz w:val="17"/>
          <w:szCs w:val="22"/>
          <w:lang w:val="en-US"/>
        </w:rPr>
        <w:t xml:space="preserve"> </w:t>
      </w:r>
    </w:p>
    <w:p w14:paraId="7B2E3440"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3697741C"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The sealed envelope must be deposited into the DRC Tender Box at the address stated on page one before the RFQ Closing Date and Time. </w:t>
      </w:r>
    </w:p>
    <w:p w14:paraId="6B4E2F8F"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It is the Bidders responsibility to ensure that the sealed envelope is deposited into the Tender Box. </w:t>
      </w:r>
    </w:p>
    <w:p w14:paraId="3183758A" w14:textId="77777777" w:rsidR="006070D2" w:rsidRPr="006070D2" w:rsidRDefault="006070D2" w:rsidP="006070D2">
      <w:pPr>
        <w:spacing w:after="1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1B40FAE3"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Any Bids not received on the official DRC Bid Form, or in a sealed envelope may be disqualified for non‐compliance with these RFQ Instructions. </w:t>
      </w:r>
    </w:p>
    <w:p w14:paraId="26E5A272"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5295A9EF"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received in pencil will be disqualified. </w:t>
      </w:r>
    </w:p>
    <w:p w14:paraId="52A50A58"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208AA79D"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Prices </w:t>
      </w:r>
    </w:p>
    <w:p w14:paraId="024CFD1E"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must include all customs and taxes payable in the country of delivery unless the RFQ specifically requests a Bid is other than DPU (INCOTERMS 2020). </w:t>
      </w:r>
    </w:p>
    <w:p w14:paraId="5E971B86"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6607C34A"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must be in the currency stated on the RFQ Bid Form. Bids in any other currency may be disqualified. </w:t>
      </w:r>
    </w:p>
    <w:p w14:paraId="52DBD608"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56AEDD2D"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DRC reserves the right to correct any incorrect calculations on the Bid Form. </w:t>
      </w:r>
    </w:p>
    <w:p w14:paraId="0D67F33F"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67EB80F1"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Validity of Offer </w:t>
      </w:r>
    </w:p>
    <w:p w14:paraId="50BE7B36"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Your Bid must be valid for the ‘Bid Validity Period as stated on the Bid Form. Bids not meeting the Bid Validity Period may be disqualified. </w:t>
      </w:r>
    </w:p>
    <w:p w14:paraId="3689A268"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DRC will attempt to notify all suppliers of the outcome of their Quotations. </w:t>
      </w:r>
    </w:p>
    <w:p w14:paraId="592836D0" w14:textId="77777777" w:rsidR="006070D2" w:rsidRPr="006070D2" w:rsidRDefault="006070D2" w:rsidP="006070D2">
      <w:pPr>
        <w:spacing w:after="1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76CBAAE4"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Evaluation of Bids </w:t>
      </w:r>
    </w:p>
    <w:p w14:paraId="7E67EB27"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received and accepted will be evaluated on a ‘line item’ basis as follows: </w:t>
      </w:r>
    </w:p>
    <w:p w14:paraId="73B540F5" w14:textId="77777777" w:rsidR="006070D2" w:rsidRPr="006070D2" w:rsidRDefault="006070D2" w:rsidP="006070D2">
      <w:pPr>
        <w:spacing w:after="13"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0B89F8B5" w14:textId="77777777" w:rsidR="006070D2" w:rsidRPr="006070D2" w:rsidRDefault="006070D2" w:rsidP="006070D2">
      <w:pPr>
        <w:numPr>
          <w:ilvl w:val="0"/>
          <w:numId w:val="43"/>
        </w:numPr>
        <w:spacing w:after="5" w:line="268" w:lineRule="auto"/>
        <w:ind w:right="6" w:hanging="338"/>
        <w:rPr>
          <w:rFonts w:ascii="Calibri" w:eastAsia="Calibri" w:hAnsi="Calibri" w:cs="Calibri"/>
          <w:color w:val="222222"/>
          <w:sz w:val="17"/>
          <w:szCs w:val="22"/>
          <w:lang w:val="en-US"/>
        </w:rPr>
      </w:pPr>
      <w:r w:rsidRPr="006070D2">
        <w:rPr>
          <w:rFonts w:ascii="Calibri" w:eastAsia="Calibri" w:hAnsi="Calibri" w:cs="Calibri"/>
          <w:color w:val="222222"/>
          <w:sz w:val="17"/>
          <w:szCs w:val="22"/>
          <w:u w:val="single" w:color="222222"/>
          <w:lang w:val="en-US"/>
        </w:rPr>
        <w:t>Administrative Evaluation:</w:t>
      </w:r>
      <w:r w:rsidRPr="006070D2">
        <w:rPr>
          <w:rFonts w:ascii="Calibri" w:eastAsia="Calibri" w:hAnsi="Calibri" w:cs="Calibri"/>
          <w:color w:val="222222"/>
          <w:sz w:val="17"/>
          <w:szCs w:val="22"/>
          <w:lang w:val="en-US"/>
        </w:rPr>
        <w:t xml:space="preserve"> Evaluated to ensure compliance with all the RFQ requirements and to ensure that all Bids and calculations are readable and acceptable. </w:t>
      </w:r>
    </w:p>
    <w:p w14:paraId="4716FB6A"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57B7EC2C" w14:textId="77777777" w:rsidR="006070D2" w:rsidRPr="006070D2" w:rsidRDefault="006070D2" w:rsidP="006070D2">
      <w:pPr>
        <w:numPr>
          <w:ilvl w:val="0"/>
          <w:numId w:val="43"/>
        </w:numPr>
        <w:spacing w:after="5" w:line="240" w:lineRule="auto"/>
        <w:ind w:right="6" w:hanging="338"/>
        <w:rPr>
          <w:rFonts w:ascii="Calibri" w:eastAsia="Calibri" w:hAnsi="Calibri" w:cs="Calibri"/>
          <w:color w:val="222222"/>
          <w:sz w:val="17"/>
          <w:szCs w:val="22"/>
          <w:lang w:val="en-US"/>
        </w:rPr>
      </w:pPr>
      <w:r w:rsidRPr="006070D2">
        <w:rPr>
          <w:rFonts w:ascii="Calibri" w:eastAsia="Calibri" w:hAnsi="Calibri" w:cs="Calibri"/>
          <w:color w:val="222222"/>
          <w:sz w:val="17"/>
          <w:szCs w:val="22"/>
          <w:u w:val="single" w:color="222222"/>
          <w:lang w:val="en-US"/>
        </w:rPr>
        <w:t>Technical Evaluation:</w:t>
      </w:r>
      <w:r w:rsidRPr="006070D2">
        <w:rPr>
          <w:rFonts w:ascii="Calibri" w:eastAsia="Calibri" w:hAnsi="Calibri" w:cs="Calibri"/>
          <w:color w:val="222222"/>
          <w:sz w:val="17"/>
          <w:szCs w:val="22"/>
          <w:lang w:val="en-US"/>
        </w:rPr>
        <w:t xml:space="preserve"> All Bids received will undergo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 </w:t>
      </w:r>
    </w:p>
    <w:p w14:paraId="45EC2595" w14:textId="77777777" w:rsidR="006070D2" w:rsidRPr="006070D2" w:rsidRDefault="006070D2" w:rsidP="006070D2">
      <w:pPr>
        <w:spacing w:after="2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0F6A978E" w14:textId="77777777" w:rsidR="006070D2" w:rsidRPr="006070D2" w:rsidRDefault="006070D2" w:rsidP="006070D2">
      <w:pPr>
        <w:numPr>
          <w:ilvl w:val="0"/>
          <w:numId w:val="43"/>
        </w:numPr>
        <w:spacing w:after="5" w:line="268" w:lineRule="auto"/>
        <w:ind w:right="6" w:hanging="338"/>
        <w:rPr>
          <w:rFonts w:ascii="Calibri" w:eastAsia="Calibri" w:hAnsi="Calibri" w:cs="Calibri"/>
          <w:color w:val="222222"/>
          <w:sz w:val="17"/>
          <w:szCs w:val="22"/>
          <w:lang w:val="en-US"/>
        </w:rPr>
      </w:pPr>
      <w:r w:rsidRPr="006070D2">
        <w:rPr>
          <w:rFonts w:ascii="Calibri" w:eastAsia="Calibri" w:hAnsi="Calibri" w:cs="Calibri"/>
          <w:color w:val="222222"/>
          <w:sz w:val="17"/>
          <w:szCs w:val="22"/>
          <w:u w:val="single" w:color="222222"/>
          <w:lang w:val="en-US"/>
        </w:rPr>
        <w:t>Financial Evaluation:</w:t>
      </w:r>
      <w:r w:rsidRPr="006070D2">
        <w:rPr>
          <w:rFonts w:ascii="Calibri" w:eastAsia="Calibri" w:hAnsi="Calibri" w:cs="Calibri"/>
          <w:color w:val="222222"/>
          <w:sz w:val="17"/>
          <w:szCs w:val="22"/>
          <w:lang w:val="en-US"/>
        </w:rPr>
        <w:t xml:space="preserve"> All ‘Responsive’ Bids will undergo a Financial Evaluation </w:t>
      </w:r>
    </w:p>
    <w:p w14:paraId="0744CE93"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75B5826A"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Contract Award </w:t>
      </w:r>
    </w:p>
    <w:p w14:paraId="4F59125F"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Under the ‘best value for money’ principle, DRC will award the contract(s) (DRC Purchase Requisition or Service Contract) to the ‘lowest responsive bid’ except where other considerations are warranted. These other considerations can be – total cost of ownership; cost of ongoing consumables; price vs warranty; quality vs price. </w:t>
      </w:r>
    </w:p>
    <w:p w14:paraId="272295B6" w14:textId="77777777" w:rsidR="006070D2" w:rsidRPr="006070D2" w:rsidRDefault="006070D2" w:rsidP="006070D2">
      <w:pPr>
        <w:spacing w:after="1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74D640BB"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RFQ Enquires </w:t>
      </w:r>
    </w:p>
    <w:p w14:paraId="5A7E2910"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enquires and questions should be addressed to the email given in the RFQ Detail’s section! All Q&amp;A’s will be shared with all invited suppliers. </w:t>
      </w:r>
    </w:p>
    <w:p w14:paraId="34FA30A4"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7D28D7A5" w14:textId="77777777" w:rsidR="006070D2" w:rsidRPr="006070D2" w:rsidRDefault="006070D2" w:rsidP="006070D2">
      <w:pPr>
        <w:spacing w:line="277" w:lineRule="auto"/>
        <w:rPr>
          <w:rFonts w:ascii="Calibri" w:eastAsia="Calibri" w:hAnsi="Calibri" w:cs="Calibri"/>
          <w:color w:val="222222"/>
          <w:sz w:val="17"/>
          <w:szCs w:val="22"/>
          <w:lang w:val="en-US"/>
        </w:rPr>
      </w:pPr>
      <w:r w:rsidRPr="006070D2">
        <w:rPr>
          <w:rFonts w:ascii="Calibri" w:eastAsia="Calibri" w:hAnsi="Calibri" w:cs="Calibri"/>
          <w:b/>
          <w:i/>
          <w:color w:val="222222"/>
          <w:sz w:val="17"/>
          <w:szCs w:val="22"/>
          <w:lang w:val="en-US"/>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22E5CD81" w14:textId="77777777" w:rsidR="006070D2" w:rsidRPr="006070D2" w:rsidRDefault="006070D2" w:rsidP="006070D2">
      <w:pPr>
        <w:spacing w:after="36" w:line="259" w:lineRule="auto"/>
        <w:ind w:left="-28"/>
        <w:rPr>
          <w:rFonts w:ascii="Calibri" w:eastAsia="Calibri" w:hAnsi="Calibri" w:cs="Calibri"/>
          <w:color w:val="222222"/>
          <w:sz w:val="17"/>
          <w:szCs w:val="22"/>
          <w:lang w:val="en-US"/>
        </w:rPr>
      </w:pPr>
      <w:r w:rsidRPr="006070D2">
        <w:rPr>
          <w:rFonts w:ascii="Calibri" w:eastAsia="Calibri" w:hAnsi="Calibri" w:cs="Calibri"/>
          <w:noProof/>
          <w:color w:val="000000"/>
          <w:szCs w:val="22"/>
          <w:lang w:val="en-US"/>
        </w:rPr>
        <mc:AlternateContent>
          <mc:Choice Requires="wpg">
            <w:drawing>
              <wp:inline distT="0" distB="0" distL="0" distR="0" wp14:anchorId="1A8CC289" wp14:editId="250FB579">
                <wp:extent cx="6131814" cy="185928"/>
                <wp:effectExtent l="0" t="0" r="0" b="0"/>
                <wp:docPr id="4567" name="Group 4567"/>
                <wp:cNvGraphicFramePr/>
                <a:graphic xmlns:a="http://schemas.openxmlformats.org/drawingml/2006/main">
                  <a:graphicData uri="http://schemas.microsoft.com/office/word/2010/wordprocessingGroup">
                    <wpg:wgp>
                      <wpg:cNvGrpSpPr/>
                      <wpg:grpSpPr>
                        <a:xfrm>
                          <a:off x="0" y="0"/>
                          <a:ext cx="6131814" cy="185928"/>
                          <a:chOff x="0" y="0"/>
                          <a:chExt cx="6131814" cy="185928"/>
                        </a:xfrm>
                      </wpg:grpSpPr>
                      <wps:wsp>
                        <wps:cNvPr id="6814" name="Shape 6814"/>
                        <wps:cNvSpPr/>
                        <wps:spPr>
                          <a:xfrm>
                            <a:off x="0" y="0"/>
                            <a:ext cx="6131814" cy="18288"/>
                          </a:xfrm>
                          <a:custGeom>
                            <a:avLst/>
                            <a:gdLst/>
                            <a:ahLst/>
                            <a:cxnLst/>
                            <a:rect l="0" t="0" r="0" b="0"/>
                            <a:pathLst>
                              <a:path w="6131814" h="18288">
                                <a:moveTo>
                                  <a:pt x="0" y="0"/>
                                </a:moveTo>
                                <a:lnTo>
                                  <a:pt x="6131814" y="0"/>
                                </a:lnTo>
                                <a:lnTo>
                                  <a:pt x="6131814" y="18288"/>
                                </a:lnTo>
                                <a:lnTo>
                                  <a:pt x="0" y="18288"/>
                                </a:lnTo>
                                <a:lnTo>
                                  <a:pt x="0" y="0"/>
                                </a:lnTo>
                              </a:path>
                            </a:pathLst>
                          </a:custGeom>
                          <a:solidFill>
                            <a:srgbClr val="000000"/>
                          </a:solidFill>
                          <a:ln w="0" cap="flat">
                            <a:noFill/>
                            <a:miter lim="127000"/>
                          </a:ln>
                          <a:effectLst/>
                        </wps:spPr>
                        <wps:bodyPr/>
                      </wps:wsp>
                      <wps:wsp>
                        <wps:cNvPr id="6815" name="Shape 6815"/>
                        <wps:cNvSpPr/>
                        <wps:spPr>
                          <a:xfrm>
                            <a:off x="0" y="18288"/>
                            <a:ext cx="6131814" cy="167640"/>
                          </a:xfrm>
                          <a:custGeom>
                            <a:avLst/>
                            <a:gdLst/>
                            <a:ahLst/>
                            <a:cxnLst/>
                            <a:rect l="0" t="0" r="0" b="0"/>
                            <a:pathLst>
                              <a:path w="6131814" h="167640">
                                <a:moveTo>
                                  <a:pt x="0" y="0"/>
                                </a:moveTo>
                                <a:lnTo>
                                  <a:pt x="6131814" y="0"/>
                                </a:lnTo>
                                <a:lnTo>
                                  <a:pt x="6131814" y="167640"/>
                                </a:lnTo>
                                <a:lnTo>
                                  <a:pt x="0" y="167640"/>
                                </a:lnTo>
                                <a:lnTo>
                                  <a:pt x="0" y="0"/>
                                </a:lnTo>
                              </a:path>
                            </a:pathLst>
                          </a:custGeom>
                          <a:solidFill>
                            <a:srgbClr val="FFFFFF"/>
                          </a:solidFill>
                          <a:ln w="0" cap="flat">
                            <a:noFill/>
                            <a:miter lim="127000"/>
                          </a:ln>
                          <a:effectLst/>
                        </wps:spPr>
                        <wps:bodyPr/>
                      </wps:wsp>
                      <wps:wsp>
                        <wps:cNvPr id="554" name="Rectangle 554"/>
                        <wps:cNvSpPr/>
                        <wps:spPr>
                          <a:xfrm>
                            <a:off x="17526" y="40508"/>
                            <a:ext cx="35986" cy="162186"/>
                          </a:xfrm>
                          <a:prstGeom prst="rect">
                            <a:avLst/>
                          </a:prstGeom>
                          <a:ln>
                            <a:noFill/>
                          </a:ln>
                        </wps:spPr>
                        <wps:txbx>
                          <w:txbxContent>
                            <w:p w14:paraId="493ED344" w14:textId="77777777" w:rsidR="006070D2" w:rsidRDefault="006070D2" w:rsidP="006070D2">
                              <w:pPr>
                                <w:spacing w:after="160" w:line="259" w:lineRule="auto"/>
                              </w:pPr>
                              <w:r>
                                <w:rPr>
                                  <w:sz w:val="19"/>
                                </w:rPr>
                                <w:t xml:space="preserve"> </w:t>
                              </w:r>
                            </w:p>
                          </w:txbxContent>
                        </wps:txbx>
                        <wps:bodyPr horzOverflow="overflow" vert="horz" lIns="0" tIns="0" rIns="0" bIns="0" rtlCol="0">
                          <a:noAutofit/>
                        </wps:bodyPr>
                      </wps:wsp>
                    </wpg:wgp>
                  </a:graphicData>
                </a:graphic>
              </wp:inline>
            </w:drawing>
          </mc:Choice>
          <mc:Fallback>
            <w:pict>
              <v:group w14:anchorId="1A8CC289" id="Group 4567" o:spid="_x0000_s1032" style="width:482.8pt;height:14.65pt;mso-position-horizontal-relative:char;mso-position-vertical-relative:line" coordsize="6131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">
                <v:shape id="Shape 6814" o:spid="_x0000_s1033" style="position:absolute;width:61318;height:182;visibility:visible;mso-wrap-style:square;v-text-anchor:top" coordsize="61318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" path="m,l6131814,r,18288l,18288,,e" fillcolor="black" stroked="f" strokeweight="0">
                  <v:stroke miterlimit="83231f" joinstyle="miter"/>
                  <v:path arrowok="t" textboxrect="0,0,6131814,18288"/>
                </v:shape>
                <v:shape id="Shape 6815" o:spid="_x0000_s1034" style="position:absolute;top:182;width:61318;height:1677;visibility:visible;mso-wrap-style:square;v-text-anchor:top" coordsize="613181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" path="m,l6131814,r,167640l,167640,,e" stroked="f" strokeweight="0">
                  <v:stroke miterlimit="83231f" joinstyle="miter"/>
                  <v:path arrowok="t" textboxrect="0,0,6131814,167640"/>
                </v:shape>
                <v:rect id="Rectangle 554" o:spid="_x0000_s1035" style="position:absolute;left:175;top:405;width:36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493ED344" w14:textId="77777777" w:rsidR="006070D2" w:rsidRDefault="006070D2" w:rsidP="006070D2">
                        <w:pPr>
                          <w:spacing w:after="160" w:line="259" w:lineRule="auto"/>
                        </w:pPr>
                        <w:r>
                          <w:rPr>
                            <w:sz w:val="19"/>
                          </w:rPr>
                          <w:t xml:space="preserve"> </w:t>
                        </w:r>
                      </w:p>
                    </w:txbxContent>
                  </v:textbox>
                </v:rect>
                <w10:anchorlock/>
              </v:group>
            </w:pict>
          </mc:Fallback>
        </mc:AlternateContent>
      </w:r>
    </w:p>
    <w:p w14:paraId="65098B61" w14:textId="4F651D75" w:rsidR="006070D2" w:rsidRPr="006070D2" w:rsidRDefault="006070D2" w:rsidP="006070D2">
      <w:pPr>
        <w:spacing w:after="9" w:line="259" w:lineRule="auto"/>
        <w:ind w:left="-5" w:hanging="10"/>
        <w:rPr>
          <w:rFonts w:ascii="Calibri" w:eastAsia="Calibri" w:hAnsi="Calibri" w:cs="Calibri"/>
          <w:color w:val="222222"/>
          <w:sz w:val="17"/>
          <w:szCs w:val="22"/>
          <w:lang w:val="en-US"/>
        </w:rPr>
      </w:pPr>
      <w:r>
        <w:rPr>
          <w:rFonts w:ascii="Calibri" w:eastAsia="Calibri" w:hAnsi="Calibri" w:cs="Calibri"/>
          <w:color w:val="222222"/>
          <w:sz w:val="19"/>
          <w:szCs w:val="22"/>
          <w:lang w:val="en-US"/>
        </w:rPr>
        <w:t>Supply Chain Department</w:t>
      </w:r>
    </w:p>
    <w:p w14:paraId="3A34E6F3" w14:textId="121E0CBB" w:rsidR="006070D2" w:rsidRPr="006070D2" w:rsidRDefault="006070D2" w:rsidP="006070D2">
      <w:pPr>
        <w:spacing w:after="93" w:line="259" w:lineRule="auto"/>
        <w:ind w:left="-5" w:hanging="10"/>
        <w:rPr>
          <w:rFonts w:ascii="Calibri" w:eastAsia="Calibri" w:hAnsi="Calibri" w:cs="Calibri"/>
          <w:color w:val="222222"/>
          <w:sz w:val="17"/>
          <w:szCs w:val="22"/>
          <w:lang w:val="en-US"/>
        </w:rPr>
      </w:pPr>
      <w:r w:rsidRPr="006070D2">
        <w:rPr>
          <w:rFonts w:ascii="Calibri" w:eastAsia="Calibri" w:hAnsi="Calibri" w:cs="Calibri"/>
          <w:color w:val="222222"/>
          <w:sz w:val="19"/>
          <w:szCs w:val="22"/>
          <w:lang w:val="en-US"/>
        </w:rPr>
        <w:t xml:space="preserve">  </w:t>
      </w:r>
      <w:r>
        <w:rPr>
          <w:rFonts w:ascii="Calibri" w:eastAsia="Calibri" w:hAnsi="Calibri" w:cs="Calibri"/>
          <w:color w:val="222222"/>
          <w:sz w:val="19"/>
          <w:szCs w:val="22"/>
          <w:lang w:val="en-US"/>
        </w:rPr>
        <w:t>4</w:t>
      </w:r>
      <w:r w:rsidRPr="006070D2">
        <w:rPr>
          <w:rFonts w:ascii="Calibri" w:eastAsia="Calibri" w:hAnsi="Calibri" w:cs="Calibri"/>
          <w:color w:val="222222"/>
          <w:sz w:val="19"/>
          <w:szCs w:val="22"/>
          <w:vertAlign w:val="superscript"/>
          <w:lang w:val="en-US"/>
        </w:rPr>
        <w:t>th</w:t>
      </w:r>
      <w:r w:rsidRPr="006070D2">
        <w:rPr>
          <w:rFonts w:ascii="Calibri" w:eastAsia="Calibri" w:hAnsi="Calibri" w:cs="Calibri"/>
          <w:color w:val="222222"/>
          <w:sz w:val="19"/>
          <w:szCs w:val="22"/>
          <w:lang w:val="en-US"/>
        </w:rPr>
        <w:t xml:space="preserve"> </w:t>
      </w:r>
      <w:proofErr w:type="gramStart"/>
      <w:r>
        <w:rPr>
          <w:rFonts w:ascii="Calibri" w:eastAsia="Calibri" w:hAnsi="Calibri" w:cs="Calibri"/>
          <w:color w:val="222222"/>
          <w:sz w:val="19"/>
          <w:szCs w:val="22"/>
          <w:lang w:val="en-US"/>
        </w:rPr>
        <w:t xml:space="preserve">April </w:t>
      </w:r>
      <w:r w:rsidRPr="006070D2">
        <w:rPr>
          <w:rFonts w:ascii="Calibri" w:eastAsia="Calibri" w:hAnsi="Calibri" w:cs="Calibri"/>
          <w:color w:val="222222"/>
          <w:sz w:val="19"/>
          <w:szCs w:val="22"/>
          <w:lang w:val="en-US"/>
        </w:rPr>
        <w:t xml:space="preserve"> 202</w:t>
      </w:r>
      <w:r>
        <w:rPr>
          <w:rFonts w:ascii="Calibri" w:eastAsia="Calibri" w:hAnsi="Calibri" w:cs="Calibri"/>
          <w:color w:val="222222"/>
          <w:sz w:val="19"/>
          <w:szCs w:val="22"/>
          <w:lang w:val="en-US"/>
        </w:rPr>
        <w:t>2</w:t>
      </w:r>
      <w:proofErr w:type="gramEnd"/>
    </w:p>
    <w:p w14:paraId="56D4DCA6" w14:textId="42A18381" w:rsidR="00CF1805" w:rsidRPr="006070D2" w:rsidRDefault="00CF1805" w:rsidP="006070D2">
      <w:pPr>
        <w:shd w:val="clear" w:color="auto" w:fill="FFFFFF"/>
        <w:rPr>
          <w:rFonts w:asciiTheme="minorHAnsi" w:hAnsiTheme="minorHAnsi" w:cs="Arial"/>
          <w:color w:val="222222"/>
          <w:sz w:val="20"/>
          <w:szCs w:val="20"/>
          <w:lang w:val="en-US"/>
        </w:rPr>
      </w:pPr>
    </w:p>
    <w:sectPr w:rsidR="00CF1805" w:rsidRPr="006070D2" w:rsidSect="00D71D30">
      <w:footerReference w:type="default" r:id="rId8"/>
      <w:headerReference w:type="first" r:id="rId9"/>
      <w:footerReference w:type="first" r:id="rId10"/>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9A57" w14:textId="77777777" w:rsidR="0014113F" w:rsidRDefault="0014113F" w:rsidP="00DA7B96">
      <w:pPr>
        <w:spacing w:line="240" w:lineRule="auto"/>
      </w:pPr>
      <w:r>
        <w:separator/>
      </w:r>
    </w:p>
  </w:endnote>
  <w:endnote w:type="continuationSeparator" w:id="0">
    <w:p w14:paraId="3A0A4B66" w14:textId="77777777" w:rsidR="0014113F" w:rsidRDefault="0014113F"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74E" w14:textId="77777777" w:rsidR="00283139" w:rsidRDefault="0014113F"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14:paraId="662221E0" w14:textId="77777777" w:rsidR="00283139" w:rsidRPr="005B2835" w:rsidRDefault="0014113F"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67A86B6" w14:textId="2E3D8309" w:rsidR="00283139" w:rsidRPr="00283139" w:rsidRDefault="0014113F"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F52C9D">
      <w:rPr>
        <w:bCs/>
        <w:noProof/>
        <w:lang w:val="en-US"/>
      </w:rPr>
      <w:t>2</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F52C9D">
      <w:rPr>
        <w:bCs/>
        <w:noProof/>
        <w:lang w:val="en-US"/>
      </w:rPr>
      <w:t>2</w:t>
    </w:r>
    <w:r w:rsidR="00283139">
      <w:rPr>
        <w:bCs/>
        <w:sz w:val="24"/>
      </w:rPr>
      <w:fldChar w:fldCharType="end"/>
    </w:r>
  </w:p>
  <w:p w14:paraId="658EC304" w14:textId="77777777" w:rsidR="00283139" w:rsidRPr="00283139" w:rsidRDefault="00283139" w:rsidP="00283139">
    <w:pPr>
      <w:pStyle w:val="Footer"/>
      <w:rPr>
        <w:lang w:val="en-US"/>
      </w:rPr>
    </w:pPr>
  </w:p>
  <w:p w14:paraId="30DC548F"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9E9F" w14:textId="77777777" w:rsidR="00283139" w:rsidRDefault="0014113F"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14:paraId="28C50EBB"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AD2F506" w14:textId="163FC78A"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F52C9D">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F52C9D">
      <w:rPr>
        <w:bCs/>
        <w:noProof/>
        <w:lang w:val="en-US"/>
      </w:rPr>
      <w:t>2</w:t>
    </w:r>
    <w:r>
      <w:rPr>
        <w:bCs/>
        <w:sz w:val="24"/>
      </w:rPr>
      <w:fldChar w:fldCharType="end"/>
    </w:r>
  </w:p>
  <w:p w14:paraId="7A0EBFE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4E234" w14:textId="77777777" w:rsidR="0014113F" w:rsidRDefault="0014113F" w:rsidP="00DA7B96">
      <w:pPr>
        <w:spacing w:line="240" w:lineRule="auto"/>
      </w:pPr>
      <w:r>
        <w:separator/>
      </w:r>
    </w:p>
  </w:footnote>
  <w:footnote w:type="continuationSeparator" w:id="0">
    <w:p w14:paraId="7C9E00E4" w14:textId="77777777" w:rsidR="0014113F" w:rsidRDefault="0014113F"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EBC8"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D73FF6"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82D32D8"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97D2B8F"/>
    <w:multiLevelType w:val="hybridMultilevel"/>
    <w:tmpl w:val="B04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27092D"/>
    <w:multiLevelType w:val="hybridMultilevel"/>
    <w:tmpl w:val="4F281C0A"/>
    <w:lvl w:ilvl="0" w:tplc="0F603126">
      <w:start w:val="1"/>
      <w:numFmt w:val="lowerLetter"/>
      <w:lvlText w:val="%1)"/>
      <w:lvlJc w:val="left"/>
      <w:pPr>
        <w:ind w:left="338"/>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1" w:tplc="DC2E58CA">
      <w:start w:val="1"/>
      <w:numFmt w:val="lowerLetter"/>
      <w:lvlText w:val="%2"/>
      <w:lvlJc w:val="left"/>
      <w:pPr>
        <w:ind w:left="108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2" w:tplc="BB9CF892">
      <w:start w:val="1"/>
      <w:numFmt w:val="lowerRoman"/>
      <w:lvlText w:val="%3"/>
      <w:lvlJc w:val="left"/>
      <w:pPr>
        <w:ind w:left="180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3" w:tplc="86B8C314">
      <w:start w:val="1"/>
      <w:numFmt w:val="decimal"/>
      <w:lvlText w:val="%4"/>
      <w:lvlJc w:val="left"/>
      <w:pPr>
        <w:ind w:left="252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4" w:tplc="92126812">
      <w:start w:val="1"/>
      <w:numFmt w:val="lowerLetter"/>
      <w:lvlText w:val="%5"/>
      <w:lvlJc w:val="left"/>
      <w:pPr>
        <w:ind w:left="324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5" w:tplc="E3723838">
      <w:start w:val="1"/>
      <w:numFmt w:val="lowerRoman"/>
      <w:lvlText w:val="%6"/>
      <w:lvlJc w:val="left"/>
      <w:pPr>
        <w:ind w:left="396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6" w:tplc="3AC02BDC">
      <w:start w:val="1"/>
      <w:numFmt w:val="decimal"/>
      <w:lvlText w:val="%7"/>
      <w:lvlJc w:val="left"/>
      <w:pPr>
        <w:ind w:left="468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7" w:tplc="FB22E90A">
      <w:start w:val="1"/>
      <w:numFmt w:val="lowerLetter"/>
      <w:lvlText w:val="%8"/>
      <w:lvlJc w:val="left"/>
      <w:pPr>
        <w:ind w:left="540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8" w:tplc="EA0C9114">
      <w:start w:val="1"/>
      <w:numFmt w:val="lowerRoman"/>
      <w:lvlText w:val="%9"/>
      <w:lvlJc w:val="left"/>
      <w:pPr>
        <w:ind w:left="612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abstractNum>
  <w:abstractNum w:abstractNumId="13"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4"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7B4375"/>
    <w:multiLevelType w:val="hybridMultilevel"/>
    <w:tmpl w:val="2E20F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4"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6"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1A43E3"/>
    <w:multiLevelType w:val="multilevel"/>
    <w:tmpl w:val="0809001D"/>
    <w:numStyleLink w:val="Typografi1"/>
  </w:abstractNum>
  <w:abstractNum w:abstractNumId="32"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33"/>
  </w:num>
  <w:num w:numId="3">
    <w:abstractNumId w:val="40"/>
  </w:num>
  <w:num w:numId="4">
    <w:abstractNumId w:val="29"/>
  </w:num>
  <w:num w:numId="5">
    <w:abstractNumId w:val="22"/>
  </w:num>
  <w:num w:numId="6">
    <w:abstractNumId w:val="44"/>
  </w:num>
  <w:num w:numId="7">
    <w:abstractNumId w:val="20"/>
  </w:num>
  <w:num w:numId="8">
    <w:abstractNumId w:val="18"/>
  </w:num>
  <w:num w:numId="9">
    <w:abstractNumId w:val="7"/>
  </w:num>
  <w:num w:numId="10">
    <w:abstractNumId w:val="1"/>
  </w:num>
  <w:num w:numId="11">
    <w:abstractNumId w:val="0"/>
  </w:num>
  <w:num w:numId="12">
    <w:abstractNumId w:val="8"/>
  </w:num>
  <w:num w:numId="13">
    <w:abstractNumId w:val="11"/>
  </w:num>
  <w:num w:numId="14">
    <w:abstractNumId w:val="16"/>
  </w:num>
  <w:num w:numId="15">
    <w:abstractNumId w:val="9"/>
  </w:num>
  <w:num w:numId="16">
    <w:abstractNumId w:val="32"/>
  </w:num>
  <w:num w:numId="17">
    <w:abstractNumId w:val="6"/>
  </w:num>
  <w:num w:numId="18">
    <w:abstractNumId w:val="32"/>
  </w:num>
  <w:num w:numId="19">
    <w:abstractNumId w:val="1"/>
  </w:num>
  <w:num w:numId="20">
    <w:abstractNumId w:val="0"/>
  </w:num>
  <w:num w:numId="21">
    <w:abstractNumId w:val="27"/>
  </w:num>
  <w:num w:numId="22">
    <w:abstractNumId w:val="33"/>
  </w:num>
  <w:num w:numId="23">
    <w:abstractNumId w:val="40"/>
  </w:num>
  <w:num w:numId="24">
    <w:abstractNumId w:val="29"/>
  </w:num>
  <w:num w:numId="25">
    <w:abstractNumId w:val="22"/>
  </w:num>
  <w:num w:numId="26">
    <w:abstractNumId w:val="44"/>
  </w:num>
  <w:num w:numId="27">
    <w:abstractNumId w:val="20"/>
  </w:num>
  <w:num w:numId="28">
    <w:abstractNumId w:val="18"/>
  </w:num>
  <w:num w:numId="29">
    <w:abstractNumId w:val="7"/>
  </w:num>
  <w:num w:numId="30">
    <w:abstractNumId w:val="6"/>
  </w:num>
  <w:num w:numId="31">
    <w:abstractNumId w:val="28"/>
  </w:num>
  <w:num w:numId="32">
    <w:abstractNumId w:val="19"/>
  </w:num>
  <w:num w:numId="33">
    <w:abstractNumId w:val="5"/>
  </w:num>
  <w:num w:numId="34">
    <w:abstractNumId w:val="46"/>
  </w:num>
  <w:num w:numId="35">
    <w:abstractNumId w:val="45"/>
  </w:num>
  <w:num w:numId="36">
    <w:abstractNumId w:val="10"/>
  </w:num>
  <w:num w:numId="37">
    <w:abstractNumId w:val="38"/>
  </w:num>
  <w:num w:numId="38">
    <w:abstractNumId w:val="14"/>
  </w:num>
  <w:num w:numId="39">
    <w:abstractNumId w:val="37"/>
  </w:num>
  <w:num w:numId="40">
    <w:abstractNumId w:val="31"/>
  </w:num>
  <w:num w:numId="41">
    <w:abstractNumId w:val="3"/>
  </w:num>
  <w:num w:numId="42">
    <w:abstractNumId w:val="21"/>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096C"/>
    <w:rsid w:val="00000D7C"/>
    <w:rsid w:val="00002C1B"/>
    <w:rsid w:val="000036E2"/>
    <w:rsid w:val="00006712"/>
    <w:rsid w:val="00007215"/>
    <w:rsid w:val="00012402"/>
    <w:rsid w:val="00017517"/>
    <w:rsid w:val="000325B5"/>
    <w:rsid w:val="00035241"/>
    <w:rsid w:val="00036CBD"/>
    <w:rsid w:val="00046BDC"/>
    <w:rsid w:val="0005325C"/>
    <w:rsid w:val="000541FA"/>
    <w:rsid w:val="000753D9"/>
    <w:rsid w:val="00075A9B"/>
    <w:rsid w:val="000825DD"/>
    <w:rsid w:val="00082C6E"/>
    <w:rsid w:val="00095CB9"/>
    <w:rsid w:val="000976E4"/>
    <w:rsid w:val="000A3216"/>
    <w:rsid w:val="000B6CB2"/>
    <w:rsid w:val="000C1504"/>
    <w:rsid w:val="000C7B5A"/>
    <w:rsid w:val="000D3177"/>
    <w:rsid w:val="000E137B"/>
    <w:rsid w:val="000E2062"/>
    <w:rsid w:val="000E459E"/>
    <w:rsid w:val="000E48AE"/>
    <w:rsid w:val="000E71D1"/>
    <w:rsid w:val="000F101B"/>
    <w:rsid w:val="000F2D85"/>
    <w:rsid w:val="000F5362"/>
    <w:rsid w:val="001024B5"/>
    <w:rsid w:val="00105554"/>
    <w:rsid w:val="001128F9"/>
    <w:rsid w:val="001131CD"/>
    <w:rsid w:val="001132DE"/>
    <w:rsid w:val="00113B47"/>
    <w:rsid w:val="00114114"/>
    <w:rsid w:val="00123EEE"/>
    <w:rsid w:val="001248CE"/>
    <w:rsid w:val="00126DAD"/>
    <w:rsid w:val="00132FF2"/>
    <w:rsid w:val="0014113F"/>
    <w:rsid w:val="001427AC"/>
    <w:rsid w:val="00142DFC"/>
    <w:rsid w:val="0014730F"/>
    <w:rsid w:val="00150722"/>
    <w:rsid w:val="00156EE2"/>
    <w:rsid w:val="00163CAF"/>
    <w:rsid w:val="00165F1E"/>
    <w:rsid w:val="00172339"/>
    <w:rsid w:val="00175A7D"/>
    <w:rsid w:val="001828BC"/>
    <w:rsid w:val="0019195A"/>
    <w:rsid w:val="001A0EB3"/>
    <w:rsid w:val="001B03E2"/>
    <w:rsid w:val="001B44E7"/>
    <w:rsid w:val="001B5E7E"/>
    <w:rsid w:val="001B68F5"/>
    <w:rsid w:val="001C3E60"/>
    <w:rsid w:val="001C5FC8"/>
    <w:rsid w:val="001C71E2"/>
    <w:rsid w:val="001D33A9"/>
    <w:rsid w:val="001E6DB4"/>
    <w:rsid w:val="001E710A"/>
    <w:rsid w:val="001F166B"/>
    <w:rsid w:val="001F47F6"/>
    <w:rsid w:val="001F7DB4"/>
    <w:rsid w:val="00206595"/>
    <w:rsid w:val="002101BC"/>
    <w:rsid w:val="00213B7B"/>
    <w:rsid w:val="00221065"/>
    <w:rsid w:val="0022109F"/>
    <w:rsid w:val="002244DA"/>
    <w:rsid w:val="00232185"/>
    <w:rsid w:val="00233C69"/>
    <w:rsid w:val="0024113A"/>
    <w:rsid w:val="002417D3"/>
    <w:rsid w:val="00243EB7"/>
    <w:rsid w:val="002447E8"/>
    <w:rsid w:val="00245A05"/>
    <w:rsid w:val="00251B31"/>
    <w:rsid w:val="002537B8"/>
    <w:rsid w:val="00253A8A"/>
    <w:rsid w:val="002677E5"/>
    <w:rsid w:val="00272203"/>
    <w:rsid w:val="00276E17"/>
    <w:rsid w:val="00280AEA"/>
    <w:rsid w:val="00283139"/>
    <w:rsid w:val="00284232"/>
    <w:rsid w:val="0029640D"/>
    <w:rsid w:val="002A4D25"/>
    <w:rsid w:val="002A5D54"/>
    <w:rsid w:val="002C3B11"/>
    <w:rsid w:val="002C4913"/>
    <w:rsid w:val="002C5FBD"/>
    <w:rsid w:val="002C7245"/>
    <w:rsid w:val="002D533C"/>
    <w:rsid w:val="002D5951"/>
    <w:rsid w:val="002E2472"/>
    <w:rsid w:val="002E2610"/>
    <w:rsid w:val="002E2997"/>
    <w:rsid w:val="002E57CD"/>
    <w:rsid w:val="002F5A0C"/>
    <w:rsid w:val="00300046"/>
    <w:rsid w:val="00300778"/>
    <w:rsid w:val="00304500"/>
    <w:rsid w:val="00304979"/>
    <w:rsid w:val="00304F50"/>
    <w:rsid w:val="00314CDE"/>
    <w:rsid w:val="00321A61"/>
    <w:rsid w:val="003261D2"/>
    <w:rsid w:val="003352AD"/>
    <w:rsid w:val="00343981"/>
    <w:rsid w:val="00343CC3"/>
    <w:rsid w:val="00344A03"/>
    <w:rsid w:val="003460EB"/>
    <w:rsid w:val="003511FD"/>
    <w:rsid w:val="00353C36"/>
    <w:rsid w:val="00355195"/>
    <w:rsid w:val="00361436"/>
    <w:rsid w:val="00361579"/>
    <w:rsid w:val="00362AC0"/>
    <w:rsid w:val="00363EDA"/>
    <w:rsid w:val="003673D8"/>
    <w:rsid w:val="00376EDC"/>
    <w:rsid w:val="003845DC"/>
    <w:rsid w:val="003850BE"/>
    <w:rsid w:val="00387419"/>
    <w:rsid w:val="00387549"/>
    <w:rsid w:val="003875E3"/>
    <w:rsid w:val="00394072"/>
    <w:rsid w:val="00394212"/>
    <w:rsid w:val="00396E56"/>
    <w:rsid w:val="003A35B2"/>
    <w:rsid w:val="003A3A70"/>
    <w:rsid w:val="003A729A"/>
    <w:rsid w:val="003C4215"/>
    <w:rsid w:val="003C5C33"/>
    <w:rsid w:val="003C6616"/>
    <w:rsid w:val="003D2FA6"/>
    <w:rsid w:val="003D3A41"/>
    <w:rsid w:val="003D75EA"/>
    <w:rsid w:val="003E39CB"/>
    <w:rsid w:val="003F0F3E"/>
    <w:rsid w:val="003F449C"/>
    <w:rsid w:val="00400FEE"/>
    <w:rsid w:val="00401D4C"/>
    <w:rsid w:val="004030E1"/>
    <w:rsid w:val="00404B15"/>
    <w:rsid w:val="004217AD"/>
    <w:rsid w:val="0042756C"/>
    <w:rsid w:val="00430136"/>
    <w:rsid w:val="004418B3"/>
    <w:rsid w:val="0044295D"/>
    <w:rsid w:val="004432AF"/>
    <w:rsid w:val="0045362A"/>
    <w:rsid w:val="004567B3"/>
    <w:rsid w:val="00456FED"/>
    <w:rsid w:val="00457325"/>
    <w:rsid w:val="0047162F"/>
    <w:rsid w:val="00475DD0"/>
    <w:rsid w:val="004826DB"/>
    <w:rsid w:val="00483142"/>
    <w:rsid w:val="00484CF2"/>
    <w:rsid w:val="00485566"/>
    <w:rsid w:val="004B60F3"/>
    <w:rsid w:val="004C562C"/>
    <w:rsid w:val="004D23AC"/>
    <w:rsid w:val="004D3A52"/>
    <w:rsid w:val="004E030E"/>
    <w:rsid w:val="004E1F48"/>
    <w:rsid w:val="004F1780"/>
    <w:rsid w:val="004F4166"/>
    <w:rsid w:val="004F68B1"/>
    <w:rsid w:val="00500FB7"/>
    <w:rsid w:val="00501B69"/>
    <w:rsid w:val="005039A0"/>
    <w:rsid w:val="00505A52"/>
    <w:rsid w:val="00510535"/>
    <w:rsid w:val="00511843"/>
    <w:rsid w:val="00523EEF"/>
    <w:rsid w:val="005252E7"/>
    <w:rsid w:val="00525EBE"/>
    <w:rsid w:val="005302A4"/>
    <w:rsid w:val="0053308C"/>
    <w:rsid w:val="005474B8"/>
    <w:rsid w:val="00553522"/>
    <w:rsid w:val="00562C2A"/>
    <w:rsid w:val="005664ED"/>
    <w:rsid w:val="005726D1"/>
    <w:rsid w:val="00577DC7"/>
    <w:rsid w:val="00582E77"/>
    <w:rsid w:val="00590A7E"/>
    <w:rsid w:val="0059515D"/>
    <w:rsid w:val="005B7DB3"/>
    <w:rsid w:val="005C1B8B"/>
    <w:rsid w:val="005C2CA3"/>
    <w:rsid w:val="005D0ACE"/>
    <w:rsid w:val="005D115C"/>
    <w:rsid w:val="005D4560"/>
    <w:rsid w:val="005D517A"/>
    <w:rsid w:val="005F5D4C"/>
    <w:rsid w:val="006070D2"/>
    <w:rsid w:val="0061379F"/>
    <w:rsid w:val="0062392D"/>
    <w:rsid w:val="00624180"/>
    <w:rsid w:val="006319EC"/>
    <w:rsid w:val="0063484C"/>
    <w:rsid w:val="006420FA"/>
    <w:rsid w:val="0065043C"/>
    <w:rsid w:val="00651792"/>
    <w:rsid w:val="00665B3C"/>
    <w:rsid w:val="00666865"/>
    <w:rsid w:val="006723C1"/>
    <w:rsid w:val="00672CB0"/>
    <w:rsid w:val="00676201"/>
    <w:rsid w:val="006827D8"/>
    <w:rsid w:val="0068393E"/>
    <w:rsid w:val="00696C84"/>
    <w:rsid w:val="00696D68"/>
    <w:rsid w:val="00697319"/>
    <w:rsid w:val="006A5C02"/>
    <w:rsid w:val="006A6248"/>
    <w:rsid w:val="006B1AD8"/>
    <w:rsid w:val="006C0CEB"/>
    <w:rsid w:val="006C14C9"/>
    <w:rsid w:val="006C1FA3"/>
    <w:rsid w:val="006C45B5"/>
    <w:rsid w:val="006C5E99"/>
    <w:rsid w:val="006D167B"/>
    <w:rsid w:val="006D2A3B"/>
    <w:rsid w:val="006D3E28"/>
    <w:rsid w:val="006E15C1"/>
    <w:rsid w:val="006E4276"/>
    <w:rsid w:val="006F4332"/>
    <w:rsid w:val="0070065E"/>
    <w:rsid w:val="0070357E"/>
    <w:rsid w:val="007045DF"/>
    <w:rsid w:val="0071185E"/>
    <w:rsid w:val="0072270D"/>
    <w:rsid w:val="007240E2"/>
    <w:rsid w:val="00724436"/>
    <w:rsid w:val="0072595F"/>
    <w:rsid w:val="00725BB2"/>
    <w:rsid w:val="00725BF3"/>
    <w:rsid w:val="00742239"/>
    <w:rsid w:val="007422C8"/>
    <w:rsid w:val="007424DC"/>
    <w:rsid w:val="00756E41"/>
    <w:rsid w:val="007614F2"/>
    <w:rsid w:val="00766FEE"/>
    <w:rsid w:val="0077353C"/>
    <w:rsid w:val="007803F1"/>
    <w:rsid w:val="00782DE3"/>
    <w:rsid w:val="0078490A"/>
    <w:rsid w:val="007A3EF4"/>
    <w:rsid w:val="007A45D6"/>
    <w:rsid w:val="007A7E93"/>
    <w:rsid w:val="007B463B"/>
    <w:rsid w:val="007D36FA"/>
    <w:rsid w:val="007D464F"/>
    <w:rsid w:val="007D5F2B"/>
    <w:rsid w:val="007E1E6A"/>
    <w:rsid w:val="007E38A3"/>
    <w:rsid w:val="007F00D5"/>
    <w:rsid w:val="0080732C"/>
    <w:rsid w:val="008123D1"/>
    <w:rsid w:val="00814A45"/>
    <w:rsid w:val="00820A80"/>
    <w:rsid w:val="00836D3E"/>
    <w:rsid w:val="008424EA"/>
    <w:rsid w:val="00852156"/>
    <w:rsid w:val="00852A4D"/>
    <w:rsid w:val="00853E61"/>
    <w:rsid w:val="00860CF7"/>
    <w:rsid w:val="00860FB7"/>
    <w:rsid w:val="008635F3"/>
    <w:rsid w:val="00865B7B"/>
    <w:rsid w:val="00872769"/>
    <w:rsid w:val="008732AC"/>
    <w:rsid w:val="00874794"/>
    <w:rsid w:val="00877BF6"/>
    <w:rsid w:val="00886747"/>
    <w:rsid w:val="00891D98"/>
    <w:rsid w:val="00892DEC"/>
    <w:rsid w:val="008A27C9"/>
    <w:rsid w:val="008A70B2"/>
    <w:rsid w:val="008B4674"/>
    <w:rsid w:val="008C5552"/>
    <w:rsid w:val="008C6149"/>
    <w:rsid w:val="008D4324"/>
    <w:rsid w:val="008F0443"/>
    <w:rsid w:val="008F5521"/>
    <w:rsid w:val="009010F3"/>
    <w:rsid w:val="00911425"/>
    <w:rsid w:val="0091175E"/>
    <w:rsid w:val="009118F3"/>
    <w:rsid w:val="00912D60"/>
    <w:rsid w:val="00914703"/>
    <w:rsid w:val="009167FE"/>
    <w:rsid w:val="009168B2"/>
    <w:rsid w:val="009229BB"/>
    <w:rsid w:val="00925C4D"/>
    <w:rsid w:val="00926176"/>
    <w:rsid w:val="009261DA"/>
    <w:rsid w:val="00934322"/>
    <w:rsid w:val="009346AB"/>
    <w:rsid w:val="00944C6E"/>
    <w:rsid w:val="00947ABA"/>
    <w:rsid w:val="00952548"/>
    <w:rsid w:val="00954EE8"/>
    <w:rsid w:val="009578D9"/>
    <w:rsid w:val="00971E4F"/>
    <w:rsid w:val="00972591"/>
    <w:rsid w:val="00980098"/>
    <w:rsid w:val="00982646"/>
    <w:rsid w:val="00982AA1"/>
    <w:rsid w:val="0098451A"/>
    <w:rsid w:val="00991187"/>
    <w:rsid w:val="00995CCC"/>
    <w:rsid w:val="009A4F56"/>
    <w:rsid w:val="009A51FD"/>
    <w:rsid w:val="009B264F"/>
    <w:rsid w:val="009B29CD"/>
    <w:rsid w:val="009B5389"/>
    <w:rsid w:val="009B562B"/>
    <w:rsid w:val="009C2849"/>
    <w:rsid w:val="009C2DE9"/>
    <w:rsid w:val="009C2E79"/>
    <w:rsid w:val="009C436A"/>
    <w:rsid w:val="009D0B33"/>
    <w:rsid w:val="009D29F4"/>
    <w:rsid w:val="009D5A37"/>
    <w:rsid w:val="009E3C20"/>
    <w:rsid w:val="009E7AD7"/>
    <w:rsid w:val="009F22CC"/>
    <w:rsid w:val="009F75C9"/>
    <w:rsid w:val="00A015D3"/>
    <w:rsid w:val="00A05030"/>
    <w:rsid w:val="00A07713"/>
    <w:rsid w:val="00A07C4E"/>
    <w:rsid w:val="00A13014"/>
    <w:rsid w:val="00A16941"/>
    <w:rsid w:val="00A24808"/>
    <w:rsid w:val="00A260B2"/>
    <w:rsid w:val="00A265C9"/>
    <w:rsid w:val="00A26A92"/>
    <w:rsid w:val="00A26F98"/>
    <w:rsid w:val="00A47DDE"/>
    <w:rsid w:val="00A51097"/>
    <w:rsid w:val="00A517BF"/>
    <w:rsid w:val="00A53765"/>
    <w:rsid w:val="00A537B8"/>
    <w:rsid w:val="00A54D0B"/>
    <w:rsid w:val="00A56389"/>
    <w:rsid w:val="00A636D0"/>
    <w:rsid w:val="00A6575E"/>
    <w:rsid w:val="00A715A6"/>
    <w:rsid w:val="00A7676D"/>
    <w:rsid w:val="00AA08DF"/>
    <w:rsid w:val="00AA1AE4"/>
    <w:rsid w:val="00AA1E03"/>
    <w:rsid w:val="00AA289F"/>
    <w:rsid w:val="00AB135A"/>
    <w:rsid w:val="00AB47B7"/>
    <w:rsid w:val="00AC19B6"/>
    <w:rsid w:val="00AC7024"/>
    <w:rsid w:val="00AD71D5"/>
    <w:rsid w:val="00AE1978"/>
    <w:rsid w:val="00AE1C24"/>
    <w:rsid w:val="00AF288D"/>
    <w:rsid w:val="00AF7423"/>
    <w:rsid w:val="00B027A6"/>
    <w:rsid w:val="00B0525B"/>
    <w:rsid w:val="00B06653"/>
    <w:rsid w:val="00B15DE0"/>
    <w:rsid w:val="00B2174B"/>
    <w:rsid w:val="00B366E2"/>
    <w:rsid w:val="00B454D8"/>
    <w:rsid w:val="00B611B9"/>
    <w:rsid w:val="00B636E5"/>
    <w:rsid w:val="00B64F5A"/>
    <w:rsid w:val="00B70D3C"/>
    <w:rsid w:val="00B726F6"/>
    <w:rsid w:val="00B72C89"/>
    <w:rsid w:val="00B80DBC"/>
    <w:rsid w:val="00B83022"/>
    <w:rsid w:val="00B8352E"/>
    <w:rsid w:val="00B877ED"/>
    <w:rsid w:val="00B939B8"/>
    <w:rsid w:val="00BA10CA"/>
    <w:rsid w:val="00BB0633"/>
    <w:rsid w:val="00BB0723"/>
    <w:rsid w:val="00BB1E84"/>
    <w:rsid w:val="00BB5857"/>
    <w:rsid w:val="00BC1FB3"/>
    <w:rsid w:val="00BC23A3"/>
    <w:rsid w:val="00BC66EB"/>
    <w:rsid w:val="00BC7D98"/>
    <w:rsid w:val="00BD1390"/>
    <w:rsid w:val="00BD45A3"/>
    <w:rsid w:val="00BD5BF5"/>
    <w:rsid w:val="00BD7916"/>
    <w:rsid w:val="00BD7BB1"/>
    <w:rsid w:val="00BE06DF"/>
    <w:rsid w:val="00BE0B23"/>
    <w:rsid w:val="00BE6BE2"/>
    <w:rsid w:val="00BF2FBB"/>
    <w:rsid w:val="00BF3FA0"/>
    <w:rsid w:val="00BF4B6F"/>
    <w:rsid w:val="00BF4E96"/>
    <w:rsid w:val="00BF778F"/>
    <w:rsid w:val="00BF7939"/>
    <w:rsid w:val="00C01547"/>
    <w:rsid w:val="00C01BA0"/>
    <w:rsid w:val="00C04DF6"/>
    <w:rsid w:val="00C20E4C"/>
    <w:rsid w:val="00C24386"/>
    <w:rsid w:val="00C24B7D"/>
    <w:rsid w:val="00C314CF"/>
    <w:rsid w:val="00C44A7D"/>
    <w:rsid w:val="00C45BD5"/>
    <w:rsid w:val="00C46D02"/>
    <w:rsid w:val="00C53891"/>
    <w:rsid w:val="00C53C7D"/>
    <w:rsid w:val="00C70281"/>
    <w:rsid w:val="00C75F0D"/>
    <w:rsid w:val="00C763B4"/>
    <w:rsid w:val="00C81BE8"/>
    <w:rsid w:val="00C81DB5"/>
    <w:rsid w:val="00C82AC2"/>
    <w:rsid w:val="00C84634"/>
    <w:rsid w:val="00C97C4A"/>
    <w:rsid w:val="00CA6A44"/>
    <w:rsid w:val="00CB32E9"/>
    <w:rsid w:val="00CB40AF"/>
    <w:rsid w:val="00CB55EB"/>
    <w:rsid w:val="00CC0034"/>
    <w:rsid w:val="00CC25BC"/>
    <w:rsid w:val="00CE5569"/>
    <w:rsid w:val="00CE5F2E"/>
    <w:rsid w:val="00CF034E"/>
    <w:rsid w:val="00CF0BBD"/>
    <w:rsid w:val="00CF0E9E"/>
    <w:rsid w:val="00CF1805"/>
    <w:rsid w:val="00CF661C"/>
    <w:rsid w:val="00D018AB"/>
    <w:rsid w:val="00D03FE7"/>
    <w:rsid w:val="00D04F30"/>
    <w:rsid w:val="00D12453"/>
    <w:rsid w:val="00D138B7"/>
    <w:rsid w:val="00D14C01"/>
    <w:rsid w:val="00D17186"/>
    <w:rsid w:val="00D171BF"/>
    <w:rsid w:val="00D176B7"/>
    <w:rsid w:val="00D24272"/>
    <w:rsid w:val="00D30DF2"/>
    <w:rsid w:val="00D316EF"/>
    <w:rsid w:val="00D3220F"/>
    <w:rsid w:val="00D50459"/>
    <w:rsid w:val="00D5137A"/>
    <w:rsid w:val="00D5155C"/>
    <w:rsid w:val="00D51957"/>
    <w:rsid w:val="00D51E1E"/>
    <w:rsid w:val="00D65317"/>
    <w:rsid w:val="00D70A82"/>
    <w:rsid w:val="00D71D30"/>
    <w:rsid w:val="00D729FC"/>
    <w:rsid w:val="00D762CB"/>
    <w:rsid w:val="00D803BA"/>
    <w:rsid w:val="00D9219A"/>
    <w:rsid w:val="00D96075"/>
    <w:rsid w:val="00DA3396"/>
    <w:rsid w:val="00DA3FDE"/>
    <w:rsid w:val="00DA7B96"/>
    <w:rsid w:val="00DB1A8D"/>
    <w:rsid w:val="00DB3C09"/>
    <w:rsid w:val="00DB7EE7"/>
    <w:rsid w:val="00DD5693"/>
    <w:rsid w:val="00DD6CCC"/>
    <w:rsid w:val="00DE3755"/>
    <w:rsid w:val="00DE51B9"/>
    <w:rsid w:val="00DE54C4"/>
    <w:rsid w:val="00DE7984"/>
    <w:rsid w:val="00DF3833"/>
    <w:rsid w:val="00DF5CEE"/>
    <w:rsid w:val="00E011F1"/>
    <w:rsid w:val="00E064ED"/>
    <w:rsid w:val="00E157E3"/>
    <w:rsid w:val="00E20BC1"/>
    <w:rsid w:val="00E20F7D"/>
    <w:rsid w:val="00E232A2"/>
    <w:rsid w:val="00E27C03"/>
    <w:rsid w:val="00E27D4C"/>
    <w:rsid w:val="00E30FE0"/>
    <w:rsid w:val="00E3520E"/>
    <w:rsid w:val="00E36A86"/>
    <w:rsid w:val="00E37A10"/>
    <w:rsid w:val="00E417E0"/>
    <w:rsid w:val="00E44D90"/>
    <w:rsid w:val="00E466CB"/>
    <w:rsid w:val="00E60362"/>
    <w:rsid w:val="00E72DB0"/>
    <w:rsid w:val="00E7605E"/>
    <w:rsid w:val="00E76828"/>
    <w:rsid w:val="00E77021"/>
    <w:rsid w:val="00E7723F"/>
    <w:rsid w:val="00E77D19"/>
    <w:rsid w:val="00E8277C"/>
    <w:rsid w:val="00E84DE7"/>
    <w:rsid w:val="00EA03B6"/>
    <w:rsid w:val="00EA7BDE"/>
    <w:rsid w:val="00EB0A18"/>
    <w:rsid w:val="00EB529A"/>
    <w:rsid w:val="00EB6A51"/>
    <w:rsid w:val="00EC17AB"/>
    <w:rsid w:val="00EC2DE3"/>
    <w:rsid w:val="00EC7748"/>
    <w:rsid w:val="00ED1CC4"/>
    <w:rsid w:val="00ED7A6D"/>
    <w:rsid w:val="00EE2980"/>
    <w:rsid w:val="00EE52CE"/>
    <w:rsid w:val="00EF5B88"/>
    <w:rsid w:val="00F01B1B"/>
    <w:rsid w:val="00F01C73"/>
    <w:rsid w:val="00F051AB"/>
    <w:rsid w:val="00F0645D"/>
    <w:rsid w:val="00F1585F"/>
    <w:rsid w:val="00F22CCD"/>
    <w:rsid w:val="00F23621"/>
    <w:rsid w:val="00F25BDF"/>
    <w:rsid w:val="00F277C2"/>
    <w:rsid w:val="00F35E9A"/>
    <w:rsid w:val="00F37345"/>
    <w:rsid w:val="00F37A2E"/>
    <w:rsid w:val="00F40ECF"/>
    <w:rsid w:val="00F458BC"/>
    <w:rsid w:val="00F52C9D"/>
    <w:rsid w:val="00F54D26"/>
    <w:rsid w:val="00F54E76"/>
    <w:rsid w:val="00F73C1C"/>
    <w:rsid w:val="00F76E7D"/>
    <w:rsid w:val="00F77BD2"/>
    <w:rsid w:val="00F8303C"/>
    <w:rsid w:val="00F83F6A"/>
    <w:rsid w:val="00F84A17"/>
    <w:rsid w:val="00F862D8"/>
    <w:rsid w:val="00F91715"/>
    <w:rsid w:val="00F935F9"/>
    <w:rsid w:val="00F93ADB"/>
    <w:rsid w:val="00F93B6E"/>
    <w:rsid w:val="00F94CC6"/>
    <w:rsid w:val="00F94D57"/>
    <w:rsid w:val="00F96ECC"/>
    <w:rsid w:val="00F976C1"/>
    <w:rsid w:val="00FA0EAD"/>
    <w:rsid w:val="00FB3C31"/>
    <w:rsid w:val="00FB4B0D"/>
    <w:rsid w:val="00FC0FE8"/>
    <w:rsid w:val="00FC2CA3"/>
    <w:rsid w:val="00FC4B81"/>
    <w:rsid w:val="00FD1798"/>
    <w:rsid w:val="00FF0C29"/>
    <w:rsid w:val="00FF19BE"/>
    <w:rsid w:val="00FF6CEA"/>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851989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3775-DBAC-48CE-8E7D-447969EB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2018-11-06T05:50:00Z</dcterms:created>
  <dcterms:modified xsi:type="dcterms:W3CDTF">2022-04-04T12:33:00Z</dcterms:modified>
</cp:coreProperties>
</file>